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78441"/>
      <w:bookmarkStart w:id="3" w:name="_Toc15396597"/>
      <w:bookmarkStart w:id="4" w:name="_Toc15377425"/>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7194"/>
      <w:bookmarkStart w:id="7" w:name="_Toc15378442"/>
      <w:bookmarkStart w:id="8" w:name="_Toc15396598"/>
      <w:bookmarkStart w:id="9" w:name="_Toc15396476"/>
      <w:bookmarkStart w:id="10" w:name="_Toc15377426"/>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泸县</w:t>
      </w:r>
      <w:bookmarkStart w:id="11" w:name="_Toc15306268"/>
      <w:r>
        <w:rPr>
          <w:rFonts w:hint="eastAsia" w:ascii="方正小标宋简体" w:hAnsi="方正小标宋简体" w:eastAsia="方正小标宋简体" w:cs="方正小标宋简体"/>
          <w:sz w:val="72"/>
          <w:szCs w:val="72"/>
          <w:lang w:eastAsia="zh-CN"/>
        </w:rPr>
        <w:t>就业服务管理局</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12 </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ascii="Times New Roman" w:hAnsi="Times New Roman" w:eastAsia="宋体" w:cs="Times New Roman"/>
          <w:color w:val="auto"/>
          <w:kern w:val="2"/>
          <w:sz w:val="24"/>
          <w:szCs w:val="24"/>
          <w:highlight w:val="none"/>
          <w:lang w:val="en-US" w:eastAsia="zh-CN" w:bidi="ar-SA"/>
        </w:rPr>
        <w:t>..................................................................................................1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.....................................................................................................1</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.....................................................................................................1</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ascii="Times New Roman" w:hAnsi="Times New Roman" w:eastAsia="宋体" w:cs="Times New Roman"/>
          <w:color w:val="auto"/>
          <w:kern w:val="2"/>
          <w:sz w:val="24"/>
          <w:szCs w:val="24"/>
          <w:highlight w:val="none"/>
          <w:lang w:val="en-US" w:eastAsia="zh-CN" w:bidi="ar-SA"/>
        </w:rPr>
        <w:t>.................................................................2</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.....................................................................2</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.....................................................................................2</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.....................................................................................3</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.....................................................3</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.............................................4</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.............................................7</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.........................................................8</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.....................................................8</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.........................................................................8</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color w:val="auto"/>
          <w:kern w:val="2"/>
          <w:sz w:val="24"/>
          <w:szCs w:val="24"/>
          <w:highlight w:val="none"/>
          <w:lang w:val="en-US" w:eastAsia="zh-CN" w:bidi="ar-SA"/>
        </w:rPr>
        <w:t>................................................................................................13</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color w:val="auto"/>
          <w:kern w:val="2"/>
          <w:sz w:val="24"/>
          <w:szCs w:val="24"/>
          <w:highlight w:val="none"/>
          <w:lang w:val="en-US" w:eastAsia="zh-CN" w:bidi="ar-SA"/>
        </w:rPr>
        <w:t>........................................................................................................17</w:t>
      </w:r>
    </w:p>
    <w:p>
      <w:pPr>
        <w:pStyle w:val="10"/>
        <w:adjustRightInd w:val="0"/>
        <w:snapToGrid w:val="0"/>
        <w:spacing w:before="0" w:line="440" w:lineRule="exact"/>
        <w:jc w:val="left"/>
        <w:rPr>
          <w:rFonts w:hint="default" w:cstheme="minorBidi"/>
          <w:b/>
          <w:bCs/>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color w:val="auto"/>
          <w:kern w:val="2"/>
          <w:sz w:val="24"/>
          <w:szCs w:val="24"/>
          <w:highlight w:val="none"/>
          <w:lang w:val="en-US" w:eastAsia="zh-CN" w:bidi="ar-SA"/>
        </w:rPr>
        <w:t>........................................................................................................20</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decimal" w:start="1"/>
          <w:cols w:space="425" w:num="1"/>
          <w:titlePg/>
          <w:docGrid w:type="lines" w:linePitch="312" w:charSpace="0"/>
        </w:sectPr>
      </w:pP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pStyle w:val="3"/>
        <w:jc w:val="center"/>
        <w:rPr>
          <w:rFonts w:hint="eastAsia" w:ascii="黑体" w:hAnsi="黑体" w:eastAsia="黑体"/>
          <w:b w:val="0"/>
          <w:color w:val="auto"/>
          <w:highlight w:val="none"/>
        </w:rPr>
        <w:sectPr>
          <w:footerReference r:id="rId12" w:type="first"/>
          <w:footerReference r:id="rId11" w:type="default"/>
          <w:pgSz w:w="11906" w:h="16838"/>
          <w:pgMar w:top="1440" w:right="1800" w:bottom="1440" w:left="1800" w:header="851" w:footer="992" w:gutter="0"/>
          <w:pgNumType w:fmt="decimal" w:start="1"/>
          <w:cols w:space="425" w:num="1"/>
          <w:titlePg/>
          <w:docGrid w:type="lines" w:linePitch="312" w:charSpace="0"/>
        </w:sectPr>
      </w:pPr>
      <w:bookmarkStart w:id="12" w:name="_Toc15377196"/>
      <w:bookmarkStart w:id="13" w:name="_Toc15396599"/>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0"/>
        </w:numPr>
        <w:ind w:firstLine="643" w:firstLineChars="200"/>
        <w:rPr>
          <w:rFonts w:hint="eastAsia"/>
          <w:lang w:eastAsia="zh-CN"/>
        </w:rPr>
      </w:pPr>
      <w:bookmarkStart w:id="14" w:name="_Toc15396600"/>
      <w:bookmarkStart w:id="15" w:name="_Toc15377197"/>
      <w:r>
        <w:rPr>
          <w:rFonts w:hint="eastAsia" w:asciiTheme="majorHAnsi" w:hAnsiTheme="majorHAnsi" w:eastAsiaTheme="majorEastAsia" w:cstheme="majorBidi"/>
          <w:b/>
          <w:bCs/>
          <w:kern w:val="2"/>
          <w:sz w:val="32"/>
          <w:szCs w:val="32"/>
          <w:lang w:val="en-US" w:eastAsia="zh-CN" w:bidi="ar-SA"/>
        </w:rPr>
        <w:t>一、</w:t>
      </w:r>
      <w:r>
        <w:rPr>
          <w:rStyle w:val="25"/>
          <w:rFonts w:hint="eastAsia" w:ascii="黑体" w:hAnsi="黑体" w:eastAsia="黑体"/>
          <w:b w:val="0"/>
          <w:bCs w:val="0"/>
          <w:color w:val="auto"/>
          <w:highlight w:val="none"/>
          <w:lang w:eastAsia="zh-CN"/>
        </w:rPr>
        <w:t>主要职责</w:t>
      </w:r>
    </w:p>
    <w:p>
      <w:pPr>
        <w:pStyle w:val="4"/>
        <w:numPr>
          <w:ilvl w:val="0"/>
          <w:numId w:val="0"/>
        </w:numPr>
        <w:ind w:firstLine="640" w:firstLineChars="200"/>
        <w:rPr>
          <w:rFonts w:hint="eastAsia"/>
          <w:lang w:eastAsia="zh-CN"/>
        </w:rPr>
      </w:pPr>
      <w:r>
        <w:rPr>
          <w:rFonts w:hint="eastAsia" w:ascii="仿宋" w:hAnsi="仿宋" w:eastAsia="仿宋" w:cs="Times New Roman"/>
          <w:b w:val="0"/>
          <w:bCs w:val="0"/>
          <w:kern w:val="2"/>
          <w:sz w:val="32"/>
          <w:szCs w:val="32"/>
          <w:lang w:val="en-US" w:eastAsia="zh-CN" w:bidi="ar-SA"/>
        </w:rPr>
        <w:t>负责全县就业、创业、失业保险等法律法规及其政策的宣传贯彻执行；统筹做好全县城镇新增劳动力、农业富余劳动力转移、就业创业和失业人员就业创业工作；负责承办全县就业创业工作具体事务，办理就业、失业登记等事务，对就业困难对象实施就业援助以及提供公共就业服务；积极落实好就业创业扶持政策，管理使用好就业资金。</w:t>
      </w:r>
    </w:p>
    <w:p>
      <w:pPr>
        <w:pStyle w:val="4"/>
        <w:numPr>
          <w:ilvl w:val="0"/>
          <w:numId w:val="0"/>
        </w:numPr>
        <w:ind w:left="0" w:leftChars="0" w:firstLine="640" w:firstLineChars="200"/>
        <w:rPr>
          <w:rFonts w:hint="eastAsia" w:ascii="黑体" w:hAnsi="黑体" w:eastAsia="黑体"/>
          <w:b w:val="0"/>
          <w:color w:val="auto"/>
          <w:highlight w:val="none"/>
          <w:lang w:val="en-US" w:eastAsia="zh-CN"/>
        </w:rPr>
      </w:pPr>
      <w:r>
        <w:rPr>
          <w:rFonts w:hint="eastAsia" w:ascii="黑体" w:hAnsi="黑体" w:eastAsia="黑体" w:cstheme="majorBidi"/>
          <w:b w:val="0"/>
          <w:bCs/>
          <w:color w:val="auto"/>
          <w:kern w:val="2"/>
          <w:sz w:val="32"/>
          <w:szCs w:val="32"/>
          <w:lang w:val="en-US" w:eastAsia="zh-CN" w:bidi="ar-SA"/>
        </w:rPr>
        <w:t>二、</w:t>
      </w:r>
      <w:r>
        <w:rPr>
          <w:rFonts w:hint="eastAsia" w:ascii="黑体" w:hAnsi="黑体" w:eastAsia="黑体"/>
          <w:b w:val="0"/>
          <w:color w:val="auto"/>
          <w:highlight w:val="none"/>
          <w:lang w:val="en-US" w:eastAsia="zh-CN"/>
        </w:rPr>
        <w:t>机构设置</w:t>
      </w:r>
    </w:p>
    <w:p>
      <w:pPr>
        <w:spacing w:line="578"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我局现设6个内设机构，分别是办公室、财务股、就业指导股、职业培训股、失业保险股、创业指导股。</w:t>
      </w:r>
    </w:p>
    <w:p>
      <w:pPr>
        <w:spacing w:line="240" w:lineRule="auto"/>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2022年实有编制20个，年末实有人数34人，其中在职职工20人，退休人员13人，长期聘用人员1人。</w:t>
      </w: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4507.48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2245.19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99.24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就业创业专项资金在</w:t>
      </w:r>
      <w:r>
        <w:rPr>
          <w:rFonts w:hint="eastAsia" w:ascii="仿宋" w:hAnsi="仿宋" w:eastAsia="仿宋"/>
          <w:color w:val="auto"/>
          <w:sz w:val="32"/>
          <w:szCs w:val="32"/>
          <w:highlight w:val="none"/>
          <w:lang w:val="en-US" w:eastAsia="zh-CN"/>
        </w:rPr>
        <w:t>2021年10月通过财政预算进行拨款，2022年全年就业创业专项资金都是财政预算拨款，同时2021年结转717.91万元就业创业专项金在2022年收入中，导致2022年收入增幅较大。</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125730</wp:posOffset>
            </wp:positionH>
            <wp:positionV relativeFrom="paragraph">
              <wp:posOffset>148590</wp:posOffset>
            </wp:positionV>
            <wp:extent cx="5256530" cy="2654935"/>
            <wp:effectExtent l="4445" t="4445" r="15875" b="76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jc w:val="left"/>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3789.57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3789.57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shd w:val="pct10" w:color="auto" w:fill="FFFFFF"/>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4507.48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343.85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4163.63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1600" w:firstLineChars="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：支出决算结构图）（饼状图）</w:t>
      </w:r>
    </w:p>
    <w:p>
      <w:pPr>
        <w:spacing w:line="600" w:lineRule="exact"/>
        <w:ind w:firstLine="1600" w:firstLineChars="5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791845</wp:posOffset>
            </wp:positionH>
            <wp:positionV relativeFrom="paragraph">
              <wp:posOffset>128270</wp:posOffset>
            </wp:positionV>
            <wp:extent cx="3860165" cy="2337435"/>
            <wp:effectExtent l="4445" t="4445" r="21590" b="203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4" w:name="_Toc15377208"/>
      <w:bookmarkStart w:id="25" w:name="_Toc15396606"/>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年财政拨款收</w:t>
      </w:r>
      <w:r>
        <w:rPr>
          <w:rFonts w:hint="eastAsia" w:ascii="仿宋" w:hAnsi="仿宋" w:eastAsia="仿宋"/>
          <w:color w:val="000000" w:themeColor="text1"/>
          <w:sz w:val="32"/>
          <w:szCs w:val="32"/>
          <w:highlight w:val="none"/>
          <w:lang w:eastAsia="zh-CN"/>
          <w14:textFill>
            <w14:solidFill>
              <w14:schemeClr w14:val="tx1"/>
            </w14:solidFill>
          </w14:textFill>
        </w:rPr>
        <w:t>入</w:t>
      </w:r>
      <w:r>
        <w:rPr>
          <w:rFonts w:hint="eastAsia" w:ascii="仿宋" w:hAnsi="仿宋" w:eastAsia="仿宋"/>
          <w:color w:val="000000" w:themeColor="text1"/>
          <w:sz w:val="32"/>
          <w:szCs w:val="32"/>
          <w:highlight w:val="none"/>
          <w14:textFill>
            <w14:solidFill>
              <w14:schemeClr w14:val="tx1"/>
            </w14:solidFill>
          </w14:textFill>
        </w:rPr>
        <w:t>总计</w:t>
      </w:r>
      <w:r>
        <w:rPr>
          <w:rFonts w:hint="eastAsia" w:ascii="仿宋" w:hAnsi="仿宋" w:eastAsia="仿宋"/>
          <w:color w:val="000000" w:themeColor="text1"/>
          <w:sz w:val="32"/>
          <w:szCs w:val="32"/>
          <w:highlight w:val="none"/>
          <w:lang w:val="en-US" w:eastAsia="zh-CN"/>
          <w14:textFill>
            <w14:solidFill>
              <w14:schemeClr w14:val="tx1"/>
            </w14:solidFill>
          </w14:textFill>
        </w:rPr>
        <w:t>3789.57</w:t>
      </w:r>
      <w:r>
        <w:rPr>
          <w:rFonts w:hint="eastAsia" w:ascii="仿宋" w:hAnsi="仿宋" w:eastAsia="仿宋"/>
          <w:color w:val="000000" w:themeColor="text1"/>
          <w:sz w:val="32"/>
          <w:szCs w:val="32"/>
          <w:highlight w:val="none"/>
          <w14:textFill>
            <w14:solidFill>
              <w14:schemeClr w14:val="tx1"/>
            </w14:solidFill>
          </w14:textFill>
        </w:rPr>
        <w:t>万元。与</w:t>
      </w:r>
      <w:r>
        <w:rPr>
          <w:rFonts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年相比，财政拨款收</w:t>
      </w:r>
      <w:r>
        <w:rPr>
          <w:rFonts w:hint="eastAsia" w:ascii="仿宋" w:hAnsi="仿宋" w:eastAsia="仿宋"/>
          <w:color w:val="000000" w:themeColor="text1"/>
          <w:sz w:val="32"/>
          <w:szCs w:val="32"/>
          <w:highlight w:val="none"/>
          <w:lang w:eastAsia="zh-CN"/>
          <w14:textFill>
            <w14:solidFill>
              <w14:schemeClr w14:val="tx1"/>
            </w14:solidFill>
          </w14:textFill>
        </w:rPr>
        <w:t>入</w:t>
      </w:r>
      <w:r>
        <w:rPr>
          <w:rFonts w:hint="eastAsia" w:ascii="仿宋" w:hAnsi="仿宋" w:eastAsia="仿宋"/>
          <w:color w:val="000000" w:themeColor="text1"/>
          <w:sz w:val="32"/>
          <w:szCs w:val="32"/>
          <w:highlight w:val="none"/>
          <w14:textFill>
            <w14:solidFill>
              <w14:schemeClr w14:val="tx1"/>
            </w14:solidFill>
          </w14:textFill>
        </w:rPr>
        <w:t>总计增加</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1527.28 </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lang w:val="en-US" w:eastAsia="zh-CN"/>
          <w14:textFill>
            <w14:solidFill>
              <w14:schemeClr w14:val="tx1"/>
            </w14:solidFill>
          </w14:textFill>
        </w:rPr>
        <w:t>67.51</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就业创业专项资金在</w:t>
      </w:r>
      <w:r>
        <w:rPr>
          <w:rFonts w:hint="eastAsia" w:ascii="仿宋" w:hAnsi="仿宋" w:eastAsia="仿宋"/>
          <w:color w:val="000000" w:themeColor="text1"/>
          <w:sz w:val="32"/>
          <w:szCs w:val="32"/>
          <w:highlight w:val="none"/>
          <w:lang w:val="en-US" w:eastAsia="zh-CN"/>
          <w14:textFill>
            <w14:solidFill>
              <w14:schemeClr w14:val="tx1"/>
            </w14:solidFill>
          </w14:textFill>
        </w:rPr>
        <w:t>2021年10月通过财政预算进行拨款，2022年全年就业创业专项资金都是财政预算拨款。</w:t>
      </w:r>
    </w:p>
    <w:p>
      <w:pPr>
        <w:spacing w:line="600" w:lineRule="exact"/>
        <w:ind w:firstLine="640" w:firstLineChars="200"/>
        <w:rPr>
          <w:rFonts w:ascii="仿宋" w:hAnsi="仿宋" w:eastAsia="仿宋"/>
          <w:b/>
          <w:color w:val="auto"/>
          <w:sz w:val="32"/>
          <w:szCs w:val="32"/>
          <w:highlight w:val="none"/>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年财政拨款支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4507.48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1433.4</w:t>
      </w:r>
      <w:r>
        <w:rPr>
          <w:rFonts w:hint="eastAsia" w:ascii="仿宋" w:hAnsi="仿宋" w:eastAsia="仿宋"/>
          <w:sz w:val="32"/>
          <w:szCs w:val="32"/>
        </w:rPr>
        <w:t>相比，财政拨款支</w:t>
      </w:r>
      <w:r>
        <w:rPr>
          <w:rFonts w:hint="eastAsia" w:ascii="仿宋" w:hAnsi="仿宋" w:eastAsia="仿宋"/>
          <w:sz w:val="32"/>
          <w:szCs w:val="32"/>
          <w:lang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3074.48</w:t>
      </w:r>
      <w:r>
        <w:rPr>
          <w:rFonts w:hint="eastAsia" w:ascii="仿宋" w:hAnsi="仿宋" w:eastAsia="仿宋"/>
          <w:sz w:val="32"/>
          <w:szCs w:val="32"/>
        </w:rPr>
        <w:t>万元，增长</w:t>
      </w:r>
      <w:r>
        <w:rPr>
          <w:rFonts w:hint="eastAsia" w:ascii="仿宋" w:hAnsi="仿宋" w:eastAsia="仿宋"/>
          <w:sz w:val="32"/>
          <w:szCs w:val="32"/>
          <w:lang w:val="en-US" w:eastAsia="zh-CN"/>
        </w:rPr>
        <w:t>214.46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就业创业专项资金在</w:t>
      </w:r>
      <w:r>
        <w:rPr>
          <w:rFonts w:hint="eastAsia" w:ascii="仿宋" w:hAnsi="仿宋" w:eastAsia="仿宋"/>
          <w:color w:val="auto"/>
          <w:sz w:val="32"/>
          <w:szCs w:val="32"/>
          <w:highlight w:val="none"/>
          <w:lang w:val="en-US" w:eastAsia="zh-CN"/>
        </w:rPr>
        <w:t>2021年10月通过财政预算进行拨款，2022年全年就业创业专项资金均是财政预算拨款，同时2021年结转717.91万元就业创业专项金于2022年收入中，导致2022年收入增幅较大。</w:t>
      </w: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4507.48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3074.08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214.46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就业创业专项资金在</w:t>
      </w:r>
      <w:r>
        <w:rPr>
          <w:rFonts w:hint="eastAsia" w:ascii="仿宋" w:hAnsi="仿宋" w:eastAsia="仿宋"/>
          <w:color w:val="auto"/>
          <w:sz w:val="32"/>
          <w:szCs w:val="32"/>
          <w:highlight w:val="none"/>
          <w:lang w:val="en-US" w:eastAsia="zh-CN"/>
        </w:rPr>
        <w:t>2021年10月通过财政预算进行拨款，2022年全年就业创业专项资金都是财政预算拨款</w:t>
      </w:r>
      <w:r>
        <w:rPr>
          <w:rFonts w:hint="eastAsia" w:ascii="仿宋" w:hAnsi="仿宋" w:eastAsia="仿宋"/>
          <w:color w:val="auto"/>
          <w:sz w:val="32"/>
          <w:szCs w:val="32"/>
          <w:highlight w:val="none"/>
          <w:lang w:eastAsia="zh-CN"/>
        </w:rPr>
        <w:t>。</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二）一般公共预算财政拨款支出决算结构情况</w:t>
      </w:r>
      <w:bookmarkEnd w:id="29"/>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4507.48</w:t>
      </w:r>
      <w:r>
        <w:rPr>
          <w:rFonts w:hint="eastAsia" w:ascii="仿宋" w:hAnsi="仿宋" w:eastAsia="仿宋"/>
          <w:color w:val="auto"/>
          <w:sz w:val="32"/>
          <w:szCs w:val="32"/>
          <w:highlight w:val="none"/>
        </w:rPr>
        <w:t>万元，主要用于以下方面</w:t>
      </w:r>
      <w:r>
        <w:rPr>
          <w:rFonts w:hint="eastAsia" w:ascii="仿宋" w:hAnsi="仿宋" w:eastAsia="仿宋"/>
          <w:b/>
          <w:color w:val="000000"/>
          <w:sz w:val="32"/>
          <w:szCs w:val="32"/>
        </w:rPr>
        <w:t xml:space="preserve"> </w:t>
      </w:r>
      <w:r>
        <w:rPr>
          <w:rFonts w:hint="eastAsia" w:ascii="仿宋" w:hAnsi="仿宋" w:eastAsia="仿宋"/>
          <w:color w:val="000000"/>
          <w:sz w:val="32"/>
          <w:szCs w:val="32"/>
        </w:rPr>
        <w:t>社会保障和就业支出（类208）支出</w:t>
      </w:r>
      <w:r>
        <w:rPr>
          <w:rFonts w:hint="eastAsia" w:ascii="仿宋" w:hAnsi="仿宋" w:eastAsia="仿宋"/>
          <w:color w:val="000000"/>
          <w:sz w:val="32"/>
          <w:szCs w:val="32"/>
          <w:lang w:val="en-US" w:eastAsia="zh-CN"/>
        </w:rPr>
        <w:t>4481.23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99.42</w:t>
      </w:r>
      <w:r>
        <w:rPr>
          <w:rFonts w:ascii="仿宋" w:hAnsi="仿宋" w:eastAsia="仿宋"/>
          <w:color w:val="000000"/>
          <w:sz w:val="32"/>
          <w:szCs w:val="32"/>
        </w:rPr>
        <w:t>%</w:t>
      </w:r>
      <w:r>
        <w:rPr>
          <w:rFonts w:hint="eastAsia" w:ascii="仿宋" w:hAnsi="仿宋" w:eastAsia="仿宋"/>
          <w:color w:val="000000"/>
          <w:sz w:val="32"/>
          <w:szCs w:val="32"/>
        </w:rPr>
        <w:t>；卫生健康支出（类210）支出</w:t>
      </w:r>
      <w:r>
        <w:rPr>
          <w:rFonts w:hint="eastAsia" w:ascii="仿宋" w:hAnsi="仿宋" w:eastAsia="仿宋"/>
          <w:color w:val="000000"/>
          <w:sz w:val="32"/>
          <w:szCs w:val="32"/>
          <w:lang w:val="en-US" w:eastAsia="zh-CN"/>
        </w:rPr>
        <w:t>12.73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0.28</w:t>
      </w:r>
      <w:r>
        <w:rPr>
          <w:rFonts w:ascii="仿宋" w:hAnsi="仿宋" w:eastAsia="仿宋"/>
          <w:color w:val="000000"/>
          <w:sz w:val="32"/>
          <w:szCs w:val="32"/>
        </w:rPr>
        <w:t>%</w:t>
      </w:r>
      <w:r>
        <w:rPr>
          <w:rFonts w:hint="eastAsia" w:ascii="仿宋" w:hAnsi="仿宋" w:eastAsia="仿宋"/>
          <w:color w:val="000000"/>
          <w:sz w:val="32"/>
          <w:szCs w:val="32"/>
        </w:rPr>
        <w:t>；住房保障支出（类221）支出</w:t>
      </w:r>
      <w:r>
        <w:rPr>
          <w:rFonts w:hint="eastAsia" w:ascii="仿宋" w:hAnsi="仿宋" w:eastAsia="仿宋"/>
          <w:color w:val="000000"/>
          <w:sz w:val="32"/>
          <w:szCs w:val="32"/>
          <w:lang w:val="en-US" w:eastAsia="zh-CN"/>
        </w:rPr>
        <w:t>13.52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：一般公共预算财政拨款支出决算结构）（饼状图）</w:t>
      </w: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47795" cy="1947545"/>
            <wp:effectExtent l="4445" t="4445" r="1016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4507.48万元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default" w:ascii="仿宋" w:hAnsi="仿宋" w:eastAsia="仿宋"/>
          <w:bCs/>
          <w:color w:val="000000"/>
          <w:sz w:val="32"/>
          <w:szCs w:val="32"/>
          <w:lang w:val="en-US" w:eastAsia="zh-CN"/>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社会保障和就业支出（类208）人力资源和社会保障管理事务（款01）</w:t>
      </w:r>
      <w:r>
        <w:rPr>
          <w:rStyle w:val="14"/>
          <w:rFonts w:hint="eastAsia" w:ascii="仿宋" w:hAnsi="仿宋" w:eastAsia="仿宋"/>
          <w:bCs/>
          <w:color w:val="000000"/>
          <w:sz w:val="32"/>
          <w:szCs w:val="32"/>
          <w:lang w:eastAsia="zh-CN"/>
        </w:rPr>
        <w:t>社会保险经办机构</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val="en-US" w:eastAsia="zh-CN"/>
        </w:rPr>
        <w:t>09</w:t>
      </w:r>
      <w:r>
        <w:rPr>
          <w:rStyle w:val="14"/>
          <w:rFonts w:hint="eastAsia" w:ascii="仿宋" w:hAnsi="仿宋" w:eastAsia="仿宋"/>
          <w:bCs/>
          <w:color w:val="000000"/>
          <w:sz w:val="32"/>
          <w:szCs w:val="32"/>
        </w:rPr>
        <w:t>）（208010</w:t>
      </w:r>
      <w:r>
        <w:rPr>
          <w:rStyle w:val="14"/>
          <w:rFonts w:hint="eastAsia" w:ascii="仿宋" w:hAnsi="仿宋" w:eastAsia="仿宋"/>
          <w:bCs/>
          <w:color w:val="000000"/>
          <w:sz w:val="32"/>
          <w:szCs w:val="32"/>
          <w:lang w:val="en-US" w:eastAsia="zh-CN"/>
        </w:rPr>
        <w:t>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320.07</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103.72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超出预算数是因为存在上年结转资金。</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社会保障和就业支出（类208）行政事业单位养老支出（款05）机关事业单位基本养老保险缴费支出（项05）（2080505）</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23.22</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pStyle w:val="2"/>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社会保障和就业支出（类208）行政事业单位养老支出（款05）机关事业单位</w:t>
      </w:r>
      <w:r>
        <w:rPr>
          <w:rStyle w:val="14"/>
          <w:rFonts w:hint="eastAsia" w:ascii="仿宋" w:hAnsi="仿宋" w:eastAsia="仿宋"/>
          <w:bCs/>
          <w:color w:val="000000"/>
          <w:sz w:val="32"/>
          <w:szCs w:val="32"/>
          <w:lang w:eastAsia="zh-CN"/>
        </w:rPr>
        <w:t>职业年金缴费支出</w:t>
      </w:r>
      <w:r>
        <w:rPr>
          <w:rStyle w:val="14"/>
          <w:rFonts w:hint="eastAsia" w:ascii="仿宋" w:hAnsi="仿宋" w:eastAsia="仿宋"/>
          <w:bCs/>
          <w:color w:val="000000"/>
          <w:sz w:val="32"/>
          <w:szCs w:val="32"/>
        </w:rPr>
        <w:t>（项0</w:t>
      </w: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）（208050</w:t>
      </w: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4.57</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pStyle w:val="2"/>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社会保障和就业支出（类208）行政事业单位养老支出（款05）</w:t>
      </w:r>
      <w:r>
        <w:rPr>
          <w:rStyle w:val="14"/>
          <w:rFonts w:hint="eastAsia" w:ascii="仿宋" w:hAnsi="仿宋" w:eastAsia="仿宋"/>
          <w:bCs/>
          <w:color w:val="000000"/>
          <w:sz w:val="32"/>
          <w:szCs w:val="32"/>
          <w:lang w:eastAsia="zh-CN"/>
        </w:rPr>
        <w:t>其他行政事业单位养老支出</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）（20805</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 xml:space="preserve">: </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4.82</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eastAsia" w:ascii="仿宋" w:hAnsi="仿宋" w:eastAsia="仿宋"/>
          <w:bCs/>
          <w:color w:val="000000"/>
          <w:sz w:val="32"/>
          <w:szCs w:val="32"/>
          <w:lang w:eastAsia="zh-CN"/>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w:t>
      </w:r>
      <w:r>
        <w:rPr>
          <w:rStyle w:val="14"/>
          <w:rFonts w:hint="eastAsia" w:ascii="仿宋" w:hAnsi="仿宋" w:eastAsia="仿宋"/>
          <w:bCs/>
          <w:color w:val="000000"/>
          <w:sz w:val="32"/>
          <w:szCs w:val="32"/>
          <w:lang w:eastAsia="zh-CN"/>
        </w:rPr>
        <w:t>就业补助</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）其他</w:t>
      </w:r>
      <w:r>
        <w:rPr>
          <w:rStyle w:val="14"/>
          <w:rFonts w:hint="eastAsia" w:ascii="仿宋" w:hAnsi="仿宋" w:eastAsia="仿宋"/>
          <w:bCs/>
          <w:color w:val="000000"/>
          <w:sz w:val="32"/>
          <w:szCs w:val="32"/>
          <w:lang w:eastAsia="zh-CN"/>
        </w:rPr>
        <w:t>就业补助支出</w:t>
      </w:r>
      <w:r>
        <w:rPr>
          <w:rStyle w:val="14"/>
          <w:rFonts w:hint="eastAsia" w:ascii="仿宋" w:hAnsi="仿宋" w:eastAsia="仿宋"/>
          <w:bCs/>
          <w:color w:val="000000"/>
          <w:sz w:val="32"/>
          <w:szCs w:val="32"/>
        </w:rPr>
        <w:t>（项99）（208</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99）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4123.44</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120.67</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，超出预算数是因为存在上年结转资金。</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eastAsia" w:ascii="仿宋" w:hAnsi="仿宋" w:eastAsia="仿宋"/>
          <w:bCs/>
          <w:color w:val="000000"/>
          <w:sz w:val="32"/>
          <w:szCs w:val="32"/>
          <w:lang w:val="en-US" w:eastAsia="zh-CN"/>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社会保障和就业支出（类208）</w:t>
      </w:r>
      <w:r>
        <w:rPr>
          <w:rStyle w:val="14"/>
          <w:rFonts w:hint="eastAsia" w:ascii="仿宋" w:hAnsi="仿宋" w:eastAsia="仿宋"/>
          <w:bCs/>
          <w:color w:val="000000"/>
          <w:sz w:val="32"/>
          <w:szCs w:val="32"/>
          <w:lang w:eastAsia="zh-CN"/>
        </w:rPr>
        <w:t>其他社会保障和就业支出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其他社会保障和就业支出</w:t>
      </w:r>
      <w:r>
        <w:rPr>
          <w:rStyle w:val="14"/>
          <w:rFonts w:hint="eastAsia" w:ascii="仿宋" w:hAnsi="仿宋" w:eastAsia="仿宋"/>
          <w:bCs/>
          <w:color w:val="000000"/>
          <w:sz w:val="32"/>
          <w:szCs w:val="32"/>
        </w:rPr>
        <w:t>（项99）（208</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99）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5.11</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 xml:space="preserve"> </w:t>
      </w:r>
    </w:p>
    <w:p>
      <w:pPr>
        <w:keepNext w:val="0"/>
        <w:keepLines w:val="0"/>
        <w:pageBreakBefore w:val="0"/>
        <w:widowControl w:val="0"/>
        <w:kinsoku/>
        <w:wordWrap/>
        <w:overflowPunct/>
        <w:topLinePunct w:val="0"/>
        <w:bidi w:val="0"/>
        <w:snapToGrid/>
        <w:spacing w:line="578" w:lineRule="exact"/>
        <w:ind w:firstLine="643" w:firstLineChars="200"/>
        <w:textAlignment w:val="auto"/>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卫生健康支出（类210）行政事业单位医疗（款11）行政单位医疗（项01）（2101101）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7.11</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卫生健康支出（类210）行政事业单位医疗（款11）</w:t>
      </w:r>
      <w:r>
        <w:rPr>
          <w:rStyle w:val="14"/>
          <w:rFonts w:hint="eastAsia" w:ascii="仿宋" w:hAnsi="仿宋" w:eastAsia="仿宋"/>
          <w:bCs/>
          <w:color w:val="000000"/>
          <w:sz w:val="32"/>
          <w:szCs w:val="32"/>
          <w:lang w:eastAsia="zh-CN"/>
        </w:rPr>
        <w:t>事业</w:t>
      </w:r>
      <w:r>
        <w:rPr>
          <w:rStyle w:val="14"/>
          <w:rFonts w:hint="eastAsia" w:ascii="仿宋" w:hAnsi="仿宋" w:eastAsia="仿宋"/>
          <w:bCs/>
          <w:color w:val="000000"/>
          <w:sz w:val="32"/>
          <w:szCs w:val="32"/>
        </w:rPr>
        <w:t>单位医疗（项0</w:t>
      </w: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）（210110</w:t>
      </w: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1.9</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Cs/>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卫生健康支出（类210）行政事业单位医疗（款11）</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（项0</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rPr>
        <w:t>）（210110</w:t>
      </w: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3.72</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keepNext w:val="0"/>
        <w:keepLines w:val="0"/>
        <w:pageBreakBefore w:val="0"/>
        <w:widowControl w:val="0"/>
        <w:kinsoku/>
        <w:wordWrap/>
        <w:overflowPunct/>
        <w:topLinePunct w:val="0"/>
        <w:bidi w:val="0"/>
        <w:snapToGrid/>
        <w:spacing w:line="578" w:lineRule="exact"/>
        <w:ind w:firstLine="643" w:firstLineChars="200"/>
        <w:textAlignment w:val="auto"/>
        <w:rPr>
          <w:rFonts w:ascii="仿宋" w:hAnsi="仿宋" w:eastAsia="仿宋"/>
          <w:b/>
          <w:color w:val="auto"/>
          <w:sz w:val="32"/>
          <w:szCs w:val="32"/>
          <w:highlight w:val="none"/>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住房保障支出（类221）住房改革支出（款02）住房公积金（项01）（2210201）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支出决算为:</w:t>
      </w:r>
      <w:r>
        <w:rPr>
          <w:rStyle w:val="14"/>
          <w:rFonts w:hint="eastAsia" w:ascii="仿宋" w:hAnsi="仿宋" w:eastAsia="仿宋"/>
          <w:bCs/>
          <w:color w:val="000000"/>
          <w:sz w:val="32"/>
          <w:szCs w:val="32"/>
          <w:lang w:val="en-US" w:eastAsia="zh-CN"/>
        </w:rPr>
        <w:t>13.52</w:t>
      </w:r>
      <w:r>
        <w:rPr>
          <w:rStyle w:val="14"/>
          <w:rFonts w:hint="eastAsia" w:ascii="仿宋" w:hAnsi="仿宋" w:eastAsia="仿宋"/>
          <w:bCs/>
          <w:color w:val="000000"/>
          <w:sz w:val="32"/>
          <w:szCs w:val="32"/>
        </w:rPr>
        <w:t>万元，完成预算</w:t>
      </w:r>
      <w:r>
        <w:rPr>
          <w:rStyle w:val="14"/>
          <w:rFonts w:hint="eastAsia" w:ascii="仿宋" w:hAnsi="仿宋" w:eastAsia="仿宋"/>
          <w:bCs/>
          <w:color w:val="000000"/>
          <w:sz w:val="32"/>
          <w:szCs w:val="32"/>
          <w:lang w:eastAsia="zh-CN"/>
        </w:rPr>
        <w:t>的</w:t>
      </w:r>
      <w:r>
        <w:rPr>
          <w:rStyle w:val="14"/>
          <w:rFonts w:hint="eastAsia" w:ascii="仿宋" w:hAnsi="仿宋" w:eastAsia="仿宋"/>
          <w:bCs/>
          <w:color w:val="000000"/>
          <w:sz w:val="32"/>
          <w:szCs w:val="32"/>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343.85</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304.47</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70.52万元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167.23万元</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3.79万元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23.22万元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4.57万元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lang w:val="en-US" w:eastAsia="zh-CN"/>
        </w:rPr>
        <w:t>9.01万元、公务员医疗补助缴费3.72万元、</w:t>
      </w:r>
      <w:r>
        <w:rPr>
          <w:rFonts w:hint="eastAsia" w:ascii="仿宋" w:hAnsi="仿宋" w:eastAsia="仿宋"/>
          <w:color w:val="auto"/>
          <w:sz w:val="32"/>
          <w:szCs w:val="32"/>
          <w:highlight w:val="none"/>
        </w:rPr>
        <w:t>其他社会保障缴</w:t>
      </w:r>
      <w:r>
        <w:rPr>
          <w:rFonts w:hint="eastAsia" w:ascii="仿宋" w:hAnsi="仿宋" w:eastAsia="仿宋"/>
          <w:color w:val="auto"/>
          <w:sz w:val="32"/>
          <w:szCs w:val="32"/>
          <w:highlight w:val="none"/>
          <w:lang w:val="en-US" w:eastAsia="zh-CN"/>
        </w:rPr>
        <w:t>1.06万元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3万元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0.01万元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13.52万元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4.82万元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39.38</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4.01万元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0.4万元</w:t>
      </w:r>
      <w:r>
        <w:rPr>
          <w:rFonts w:hint="eastAsia" w:ascii="仿宋" w:hAnsi="仿宋" w:eastAsia="仿宋"/>
          <w:color w:val="auto"/>
          <w:sz w:val="32"/>
          <w:szCs w:val="32"/>
          <w:highlight w:val="none"/>
        </w:rPr>
        <w:t>、手续费</w:t>
      </w:r>
      <w:r>
        <w:rPr>
          <w:rFonts w:hint="eastAsia" w:ascii="仿宋" w:hAnsi="仿宋" w:eastAsia="仿宋"/>
          <w:color w:val="auto"/>
          <w:sz w:val="32"/>
          <w:szCs w:val="32"/>
          <w:highlight w:val="none"/>
          <w:lang w:val="en-US" w:eastAsia="zh-CN"/>
        </w:rPr>
        <w:t>0.45万元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0.15万元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0.4万元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2.95万元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2.75万元</w:t>
      </w:r>
      <w:r>
        <w:rPr>
          <w:rFonts w:hint="eastAsia" w:ascii="仿宋" w:hAnsi="仿宋" w:eastAsia="仿宋"/>
          <w:color w:val="auto"/>
          <w:sz w:val="32"/>
          <w:szCs w:val="32"/>
          <w:highlight w:val="none"/>
        </w:rPr>
        <w:t>、租赁费</w:t>
      </w:r>
      <w:r>
        <w:rPr>
          <w:rFonts w:hint="eastAsia" w:ascii="仿宋" w:hAnsi="仿宋" w:eastAsia="仿宋"/>
          <w:color w:val="auto"/>
          <w:sz w:val="32"/>
          <w:szCs w:val="32"/>
          <w:highlight w:val="none"/>
          <w:lang w:val="en-US" w:eastAsia="zh-CN"/>
        </w:rPr>
        <w:t>2万元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0.63万元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3.2万元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1.23万元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1.97万元</w:t>
      </w:r>
      <w:r>
        <w:rPr>
          <w:rFonts w:hint="eastAsia" w:ascii="仿宋" w:hAnsi="仿宋" w:eastAsia="仿宋"/>
          <w:color w:val="auto"/>
          <w:sz w:val="32"/>
          <w:szCs w:val="32"/>
          <w:highlight w:val="none"/>
        </w:rPr>
        <w:t>、其他交通费</w:t>
      </w:r>
      <w:r>
        <w:rPr>
          <w:rFonts w:hint="eastAsia" w:ascii="仿宋" w:hAnsi="仿宋" w:eastAsia="仿宋"/>
          <w:color w:val="auto"/>
          <w:sz w:val="32"/>
          <w:szCs w:val="32"/>
          <w:highlight w:val="none"/>
          <w:lang w:val="en-US" w:eastAsia="zh-CN"/>
        </w:rPr>
        <w:t>12.42万元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3.82万元</w:t>
      </w:r>
      <w:r>
        <w:rPr>
          <w:rFonts w:hint="eastAsia" w:ascii="仿宋" w:hAnsi="仿宋" w:eastAsia="仿宋"/>
          <w:color w:val="auto"/>
          <w:sz w:val="32"/>
          <w:szCs w:val="32"/>
          <w:highlight w:val="none"/>
        </w:rPr>
        <w:t>。</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keepNext w:val="0"/>
        <w:keepLines w:val="0"/>
        <w:pageBreakBefore w:val="0"/>
        <w:widowControl w:val="0"/>
        <w:kinsoku/>
        <w:wordWrap/>
        <w:overflowPunct/>
        <w:topLinePunct w:val="0"/>
        <w:bidi w:val="0"/>
        <w:snapToGrid/>
        <w:spacing w:line="578" w:lineRule="exact"/>
        <w:ind w:firstLine="640"/>
        <w:textAlignment w:val="auto"/>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0.63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15.75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减少0.01万元，下降1.56%。</w:t>
      </w:r>
      <w:r>
        <w:rPr>
          <w:rFonts w:hint="eastAsia" w:ascii="仿宋" w:hAnsi="仿宋" w:eastAsia="仿宋"/>
          <w:color w:val="auto"/>
          <w:sz w:val="32"/>
          <w:szCs w:val="32"/>
          <w:highlight w:val="none"/>
        </w:rPr>
        <w:t>决算数小于预算数的主要原因是</w:t>
      </w:r>
      <w:r>
        <w:rPr>
          <w:rFonts w:hint="eastAsia" w:ascii="仿宋" w:hAnsi="仿宋" w:eastAsia="仿宋"/>
          <w:color w:val="000000"/>
          <w:sz w:val="32"/>
          <w:szCs w:val="32"/>
        </w:rPr>
        <w:t>单位深入贯彻执行中央八项规定，严格按照全县正风肃纪专项督查工作要求，厉行节约，受疫情影响减少了公务接待的次数和标准，降低了公务接待费。</w:t>
      </w:r>
    </w:p>
    <w:p>
      <w:pPr>
        <w:spacing w:line="600" w:lineRule="exact"/>
        <w:ind w:firstLine="643" w:firstLineChars="20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000000"/>
          <w:sz w:val="32"/>
          <w:szCs w:val="32"/>
        </w:rPr>
      </w:pPr>
      <w:bookmarkStart w:id="40" w:name="_Toc15377218"/>
      <w:bookmarkStart w:id="41" w:name="_Toc15396610"/>
      <w:r>
        <w:rPr>
          <w:rFonts w:ascii="仿宋" w:hAnsi="仿宋" w:eastAsia="仿宋"/>
          <w:color w:val="000000"/>
          <w:sz w:val="32"/>
          <w:szCs w:val="32"/>
        </w:rPr>
        <w:t>1.</w:t>
      </w:r>
      <w:r>
        <w:rPr>
          <w:rFonts w:hint="eastAsia" w:ascii="仿宋" w:hAnsi="仿宋" w:eastAsia="仿宋"/>
          <w:color w:val="000000"/>
          <w:sz w:val="32"/>
          <w:szCs w:val="32"/>
        </w:rPr>
        <w:t xml:space="preserve"> 因公出国（境）经费支出0万元，因公出国（境）团组数及人数为0，年初无预算。</w:t>
      </w:r>
    </w:p>
    <w:p>
      <w:pPr>
        <w:keepNext w:val="0"/>
        <w:keepLines w:val="0"/>
        <w:pageBreakBefore w:val="0"/>
        <w:widowControl w:val="0"/>
        <w:kinsoku/>
        <w:wordWrap/>
        <w:overflowPunct/>
        <w:topLinePunct w:val="0"/>
        <w:bidi w:val="0"/>
        <w:snapToGrid/>
        <w:spacing w:line="578" w:lineRule="exact"/>
        <w:ind w:firstLine="64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 xml:space="preserve"> 公务用车购置及运行维护费支出0万元, 公务用车购置费0万元，公务用车运行维护费0万元，现有车辆0辆,年初无预算。</w:t>
      </w:r>
      <w:r>
        <w:rPr>
          <w:rFonts w:ascii="仿宋" w:hAnsi="仿宋" w:eastAsia="仿宋"/>
          <w:color w:val="000000"/>
          <w:sz w:val="32"/>
          <w:szCs w:val="32"/>
        </w:rPr>
        <w:t xml:space="preserve"> </w:t>
      </w:r>
    </w:p>
    <w:p>
      <w:pPr>
        <w:keepNext w:val="0"/>
        <w:keepLines w:val="0"/>
        <w:pageBreakBefore w:val="0"/>
        <w:widowControl w:val="0"/>
        <w:kinsoku/>
        <w:wordWrap/>
        <w:overflowPunct/>
        <w:topLinePunct w:val="0"/>
        <w:bidi w:val="0"/>
        <w:snapToGrid/>
        <w:spacing w:line="578" w:lineRule="exact"/>
        <w:ind w:firstLine="640"/>
        <w:textAlignment w:val="auto"/>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w:t>
      </w:r>
      <w:r>
        <w:rPr>
          <w:rFonts w:hint="eastAsia" w:ascii="仿宋" w:hAnsi="仿宋" w:eastAsia="仿宋"/>
          <w:color w:val="000000"/>
          <w:sz w:val="32"/>
          <w:szCs w:val="32"/>
          <w:lang w:val="en-US" w:eastAsia="zh-CN"/>
        </w:rPr>
        <w:t>0.63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15.75</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年减少</w:t>
      </w:r>
      <w:r>
        <w:rPr>
          <w:rFonts w:hint="eastAsia" w:ascii="仿宋" w:hAnsi="仿宋" w:eastAsia="仿宋"/>
          <w:color w:val="000000"/>
          <w:sz w:val="32"/>
          <w:szCs w:val="32"/>
          <w:lang w:val="en-US" w:eastAsia="zh-CN"/>
        </w:rPr>
        <w:t>0.01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1.56</w:t>
      </w:r>
      <w:r>
        <w:rPr>
          <w:rFonts w:ascii="仿宋" w:hAnsi="仿宋" w:eastAsia="仿宋"/>
          <w:color w:val="000000"/>
          <w:sz w:val="32"/>
          <w:szCs w:val="32"/>
        </w:rPr>
        <w:t>%</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是接待批次减少</w:t>
      </w:r>
      <w:r>
        <w:rPr>
          <w:rFonts w:hint="eastAsia" w:ascii="仿宋" w:hAnsi="仿宋" w:eastAsia="仿宋"/>
          <w:color w:val="000000"/>
          <w:sz w:val="32"/>
          <w:szCs w:val="32"/>
        </w:rPr>
        <w:t>。其中：</w:t>
      </w:r>
    </w:p>
    <w:p>
      <w:pPr>
        <w:keepNext w:val="0"/>
        <w:keepLines w:val="0"/>
        <w:pageBreakBefore w:val="0"/>
        <w:widowControl w:val="0"/>
        <w:kinsoku/>
        <w:wordWrap/>
        <w:overflowPunct/>
        <w:topLinePunct w:val="0"/>
        <w:bidi w:val="0"/>
        <w:snapToGrid/>
        <w:spacing w:line="578" w:lineRule="exact"/>
        <w:ind w:firstLine="640"/>
        <w:textAlignment w:val="auto"/>
        <w:rPr>
          <w:rFonts w:ascii="黑体" w:eastAsia="黑体"/>
          <w:color w:val="000000" w:themeColor="text1"/>
          <w:sz w:val="32"/>
          <w:szCs w:val="32"/>
          <w:highlight w:val="none"/>
          <w14:textFill>
            <w14:solidFill>
              <w14:schemeClr w14:val="tx1"/>
            </w14:solidFill>
          </w14:textFill>
        </w:rPr>
      </w:pPr>
      <w:r>
        <w:rPr>
          <w:rFonts w:hint="eastAsia" w:ascii="仿宋" w:hAnsi="仿宋" w:eastAsia="仿宋"/>
          <w:color w:val="000000"/>
          <w:sz w:val="32"/>
          <w:szCs w:val="32"/>
        </w:rPr>
        <w:t>国内公务接待支出</w:t>
      </w:r>
      <w:r>
        <w:rPr>
          <w:rFonts w:hint="eastAsia" w:ascii="仿宋" w:hAnsi="仿宋" w:eastAsia="仿宋"/>
          <w:color w:val="000000"/>
          <w:sz w:val="32"/>
          <w:szCs w:val="32"/>
          <w:lang w:val="en-US" w:eastAsia="zh-CN"/>
        </w:rPr>
        <w:t>0.63</w:t>
      </w:r>
      <w:r>
        <w:rPr>
          <w:rFonts w:hint="eastAsia" w:ascii="仿宋" w:hAnsi="仿宋" w:eastAsia="仿宋"/>
          <w:color w:val="000000"/>
          <w:sz w:val="32"/>
          <w:szCs w:val="32"/>
        </w:rPr>
        <w:t>万元，主要用于执行公务、开展业务活动开支的交通费、用餐费等。国内公务接待</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sz w:val="32"/>
          <w:szCs w:val="32"/>
        </w:rPr>
        <w:t>批次，</w:t>
      </w:r>
      <w:r>
        <w:rPr>
          <w:rFonts w:hint="eastAsia" w:ascii="仿宋" w:hAnsi="仿宋" w:eastAsia="仿宋"/>
          <w:color w:val="000000" w:themeColor="text1"/>
          <w:sz w:val="32"/>
          <w:szCs w:val="32"/>
          <w:lang w:val="en-US" w:eastAsia="zh-CN"/>
          <w14:textFill>
            <w14:solidFill>
              <w14:schemeClr w14:val="tx1"/>
            </w14:solidFill>
          </w14:textFill>
        </w:rPr>
        <w:t>58</w:t>
      </w:r>
      <w:r>
        <w:rPr>
          <w:rFonts w:hint="eastAsia" w:ascii="仿宋" w:hAnsi="仿宋" w:eastAsia="仿宋"/>
          <w:color w:val="000000"/>
          <w:sz w:val="32"/>
          <w:szCs w:val="32"/>
        </w:rPr>
        <w:t>人次，共计支出</w:t>
      </w:r>
      <w:r>
        <w:rPr>
          <w:rFonts w:hint="eastAsia" w:ascii="仿宋" w:hAnsi="仿宋" w:eastAsia="仿宋"/>
          <w:color w:val="000000"/>
          <w:sz w:val="32"/>
          <w:szCs w:val="32"/>
          <w:lang w:val="en-US" w:eastAsia="zh-CN"/>
        </w:rPr>
        <w:t>0.63</w:t>
      </w:r>
      <w:r>
        <w:rPr>
          <w:rFonts w:hint="eastAsia" w:ascii="仿宋" w:hAnsi="仿宋" w:eastAsia="仿宋"/>
          <w:color w:val="000000"/>
          <w:sz w:val="32"/>
          <w:szCs w:val="32"/>
        </w:rPr>
        <w:t>万元，具体内容包括：接待市人社局对我县创业培训机构现场检查</w:t>
      </w:r>
      <w:r>
        <w:rPr>
          <w:rFonts w:hint="eastAsia" w:ascii="仿宋" w:hAnsi="仿宋" w:eastAsia="仿宋"/>
          <w:color w:val="000000"/>
          <w:sz w:val="32"/>
          <w:szCs w:val="32"/>
          <w:lang w:val="en-US" w:eastAsia="zh-CN"/>
        </w:rPr>
        <w:t>0.12</w:t>
      </w:r>
      <w:r>
        <w:rPr>
          <w:rFonts w:hint="eastAsia" w:ascii="仿宋" w:hAnsi="仿宋" w:eastAsia="仿宋"/>
          <w:color w:val="000000"/>
          <w:sz w:val="32"/>
          <w:szCs w:val="32"/>
        </w:rPr>
        <w:t>万元，接待市就业局到我县开展就业和失业保险工作调研</w:t>
      </w:r>
      <w:r>
        <w:rPr>
          <w:rFonts w:hint="eastAsia" w:ascii="仿宋" w:hAnsi="仿宋" w:eastAsia="仿宋"/>
          <w:color w:val="000000"/>
          <w:sz w:val="32"/>
          <w:szCs w:val="32"/>
          <w:lang w:val="en-US" w:eastAsia="zh-CN"/>
        </w:rPr>
        <w:t>0.13</w:t>
      </w:r>
      <w:r>
        <w:rPr>
          <w:rFonts w:hint="eastAsia" w:ascii="仿宋" w:hAnsi="仿宋" w:eastAsia="仿宋"/>
          <w:color w:val="000000"/>
          <w:sz w:val="32"/>
          <w:szCs w:val="32"/>
        </w:rPr>
        <w:t>万元，</w:t>
      </w:r>
      <w:r>
        <w:rPr>
          <w:rFonts w:hint="eastAsia" w:ascii="仿宋" w:hAnsi="仿宋" w:eastAsia="仿宋"/>
          <w:color w:val="000000" w:themeColor="text1"/>
          <w:sz w:val="32"/>
          <w:szCs w:val="32"/>
          <w14:textFill>
            <w14:solidFill>
              <w14:schemeClr w14:val="tx1"/>
            </w14:solidFill>
          </w14:textFill>
        </w:rPr>
        <w:t>接待</w:t>
      </w:r>
      <w:r>
        <w:rPr>
          <w:rFonts w:hint="eastAsia" w:ascii="仿宋" w:hAnsi="仿宋" w:eastAsia="仿宋"/>
          <w:color w:val="000000" w:themeColor="text1"/>
          <w:sz w:val="32"/>
          <w:szCs w:val="32"/>
          <w:lang w:eastAsia="zh-CN"/>
          <w14:textFill>
            <w14:solidFill>
              <w14:schemeClr w14:val="tx1"/>
            </w14:solidFill>
          </w14:textFill>
        </w:rPr>
        <w:t>省厅督导我县就业培训领域专项治理工作</w:t>
      </w:r>
      <w:r>
        <w:rPr>
          <w:rFonts w:hint="eastAsia" w:ascii="仿宋" w:hAnsi="仿宋" w:eastAsia="仿宋"/>
          <w:color w:val="000000" w:themeColor="text1"/>
          <w:sz w:val="32"/>
          <w:szCs w:val="32"/>
          <w14:textFill>
            <w14:solidFill>
              <w14:schemeClr w14:val="tx1"/>
            </w14:solidFill>
          </w14:textFill>
        </w:rPr>
        <w:t>费用</w:t>
      </w:r>
      <w:r>
        <w:rPr>
          <w:rFonts w:hint="eastAsia" w:ascii="仿宋" w:hAnsi="仿宋" w:eastAsia="仿宋"/>
          <w:color w:val="000000" w:themeColor="text1"/>
          <w:sz w:val="32"/>
          <w:szCs w:val="32"/>
          <w:lang w:val="en-US" w:eastAsia="zh-CN"/>
          <w14:textFill>
            <w14:solidFill>
              <w14:schemeClr w14:val="tx1"/>
            </w14:solidFill>
          </w14:textFill>
        </w:rPr>
        <w:t>0.12</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，接待市局到我县开展就业培训专项治理调研工作0.11万元等。</w:t>
      </w:r>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年，机关运行经费支出</w:t>
      </w:r>
      <w:r>
        <w:rPr>
          <w:rFonts w:hint="eastAsia" w:ascii="仿宋_GB2312" w:eastAsia="仿宋_GB2312"/>
          <w:sz w:val="32"/>
          <w:szCs w:val="32"/>
          <w:lang w:val="en-US" w:eastAsia="zh-CN"/>
        </w:rPr>
        <w:t>39.38</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年增加</w:t>
      </w:r>
      <w:r>
        <w:rPr>
          <w:rFonts w:hint="eastAsia" w:ascii="仿宋_GB2312" w:eastAsia="仿宋_GB2312"/>
          <w:sz w:val="32"/>
          <w:szCs w:val="32"/>
          <w:lang w:val="en-US" w:eastAsia="zh-CN"/>
        </w:rPr>
        <w:t>0.76</w:t>
      </w:r>
      <w:r>
        <w:rPr>
          <w:rFonts w:hint="eastAsia" w:ascii="仿宋_GB2312" w:eastAsia="仿宋_GB2312"/>
          <w:sz w:val="32"/>
          <w:szCs w:val="32"/>
        </w:rPr>
        <w:t>万元，增长</w:t>
      </w:r>
      <w:r>
        <w:rPr>
          <w:rFonts w:hint="eastAsia" w:ascii="仿宋_GB2312" w:eastAsia="仿宋_GB2312"/>
          <w:sz w:val="32"/>
          <w:szCs w:val="32"/>
          <w:lang w:val="en-US" w:eastAsia="zh-CN"/>
        </w:rPr>
        <w:t>1.97</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职工基本工资的调整。</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47" w:name="_Toc15377223"/>
      <w:r>
        <w:rPr>
          <w:rFonts w:hint="eastAsia" w:ascii="仿宋" w:hAnsi="仿宋" w:eastAsia="仿宋"/>
          <w:b/>
          <w:color w:val="000000" w:themeColor="text1"/>
          <w:sz w:val="32"/>
          <w:szCs w:val="32"/>
          <w:highlight w:val="none"/>
          <w14:textFill>
            <w14:solidFill>
              <w14:schemeClr w14:val="tx1"/>
            </w14:solidFill>
          </w14:textFill>
        </w:rPr>
        <w:t>（二）政府采购支出情况</w:t>
      </w:r>
      <w:bookmarkEnd w:id="47"/>
    </w:p>
    <w:p>
      <w:pPr>
        <w:spacing w:line="600" w:lineRule="exact"/>
        <w:ind w:firstLine="640" w:firstLineChars="200"/>
        <w:rPr>
          <w:color w:val="000000" w:themeColor="text1"/>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年，政府采购支出总额</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万元，其中：政府采购货物支出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万元、政府采购工程支出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万元、政府采购服务支出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48" w:name="_Toc15377224"/>
      <w:r>
        <w:rPr>
          <w:rFonts w:hint="eastAsia" w:ascii="仿宋" w:hAnsi="仿宋" w:eastAsia="仿宋"/>
          <w:b/>
          <w:color w:val="000000" w:themeColor="text1"/>
          <w:sz w:val="32"/>
          <w:szCs w:val="32"/>
          <w:highlight w:val="none"/>
          <w14:textFill>
            <w14:solidFill>
              <w14:schemeClr w14:val="tx1"/>
            </w14:solidFill>
          </w14:textFill>
        </w:rPr>
        <w:t>（三）国有资产占有使用情况</w:t>
      </w:r>
      <w:bookmarkEnd w:id="48"/>
    </w:p>
    <w:p>
      <w:pPr>
        <w:autoSpaceDE w:val="0"/>
        <w:autoSpaceDN w:val="0"/>
        <w:adjustRightInd w:val="0"/>
        <w:spacing w:line="600" w:lineRule="exact"/>
        <w:ind w:firstLine="640" w:firstLineChars="200"/>
        <w:jc w:val="left"/>
        <w:rPr>
          <w:rFonts w:hint="eastAsia" w:ascii="仿宋" w:hAnsi="仿宋" w:eastAsia="仿宋_GB2312"/>
          <w:b/>
          <w:color w:val="FF0000"/>
          <w:sz w:val="32"/>
          <w:szCs w:val="32"/>
          <w:highlight w:val="none"/>
          <w:lang w:eastAsia="zh-CN"/>
        </w:rPr>
      </w:pPr>
      <w:r>
        <w:rPr>
          <w:rFonts w:hint="eastAsia" w:ascii="仿宋_GB2312" w:eastAsia="仿宋_GB2312"/>
          <w:color w:val="000000" w:themeColor="text1"/>
          <w:sz w:val="32"/>
          <w:szCs w:val="32"/>
          <w:highlight w:val="none"/>
          <w14:textFill>
            <w14:solidFill>
              <w14:schemeClr w14:val="tx1"/>
            </w14:solidFill>
          </w14:textFill>
        </w:rPr>
        <w:t>截至</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月</w:t>
      </w:r>
      <w:r>
        <w:rPr>
          <w:rFonts w:ascii="仿宋_GB2312" w:eastAsia="仿宋_GB2312"/>
          <w:color w:val="000000" w:themeColor="text1"/>
          <w:sz w:val="32"/>
          <w:szCs w:val="32"/>
          <w:highlight w:val="none"/>
          <w14:textFill>
            <w14:solidFill>
              <w14:schemeClr w14:val="tx1"/>
            </w14:solidFill>
          </w14:textFill>
        </w:rPr>
        <w:t>31</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 w:hAnsi="仿宋" w:eastAsia="仿宋"/>
          <w:sz w:val="32"/>
          <w:szCs w:val="32"/>
        </w:rPr>
        <w:t>固定资产总额为</w:t>
      </w:r>
      <w:r>
        <w:rPr>
          <w:rFonts w:hint="eastAsia" w:ascii="仿宋" w:hAnsi="仿宋" w:eastAsia="仿宋"/>
          <w:color w:val="auto"/>
          <w:sz w:val="32"/>
          <w:szCs w:val="32"/>
          <w:lang w:val="en-US" w:eastAsia="zh-CN"/>
        </w:rPr>
        <w:t>67.2</w:t>
      </w:r>
      <w:r>
        <w:rPr>
          <w:rFonts w:hint="eastAsia" w:ascii="仿宋" w:hAnsi="仿宋" w:eastAsia="仿宋"/>
          <w:sz w:val="32"/>
          <w:szCs w:val="32"/>
        </w:rPr>
        <w:t>万元，均为一般设备固定资产，主要为电脑、空调、桌椅、LED显示屏等办公设备。</w:t>
      </w:r>
      <w:r>
        <w:rPr>
          <w:rFonts w:hint="eastAsia" w:ascii="仿宋_GB2312" w:eastAsia="仿宋_GB2312"/>
          <w:sz w:val="32"/>
          <w:szCs w:val="32"/>
          <w:lang w:eastAsia="zh-CN"/>
        </w:rPr>
        <w:t>我局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bookmarkStart w:id="49" w:name="_Toc15377226"/>
      <w:r>
        <w:rPr>
          <w:rFonts w:hint="eastAsia" w:ascii="仿宋" w:hAnsi="仿宋" w:eastAsia="仿宋"/>
          <w:color w:val="000000"/>
          <w:sz w:val="32"/>
          <w:szCs w:val="32"/>
        </w:rPr>
        <w:t>根据预算绩效管理要求，本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在年初预算编制阶段，组织对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项目（项目名称）开展了预算事前绩效评估，对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个项目开展了绩效目标完成情况自评。</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_GB2312" w:hAnsi="仿宋_GB2312" w:eastAsia="仿宋_GB2312" w:cs="仿宋_GB2312"/>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在</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年度部门决算中反映“</w:t>
      </w:r>
      <w:r>
        <w:rPr>
          <w:rFonts w:hint="eastAsia" w:ascii="仿宋" w:hAnsi="仿宋" w:eastAsia="仿宋"/>
          <w:color w:val="000000"/>
          <w:sz w:val="32"/>
          <w:szCs w:val="32"/>
          <w:lang w:eastAsia="zh-CN"/>
        </w:rPr>
        <w:t>就业创业服务</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个项目绩效目标实际完成情况。</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就业创业服务</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30.24</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30.24</w:t>
      </w:r>
      <w:r>
        <w:rPr>
          <w:rFonts w:hint="eastAsia" w:ascii="仿宋" w:hAnsi="仿宋" w:eastAsia="仿宋"/>
          <w:color w:val="000000"/>
          <w:sz w:val="32"/>
          <w:szCs w:val="32"/>
        </w:rPr>
        <w:t>万元，完成预算的100%。通过项目实施，保障开展各种技能</w:t>
      </w:r>
      <w:r>
        <w:rPr>
          <w:rFonts w:hint="eastAsia" w:ascii="仿宋" w:hAnsi="仿宋" w:eastAsia="仿宋"/>
          <w:color w:val="000000"/>
          <w:sz w:val="32"/>
          <w:szCs w:val="32"/>
          <w:lang w:eastAsia="zh-CN"/>
        </w:rPr>
        <w:t>、创业</w:t>
      </w:r>
      <w:r>
        <w:rPr>
          <w:rFonts w:hint="eastAsia" w:ascii="仿宋" w:hAnsi="仿宋" w:eastAsia="仿宋"/>
          <w:color w:val="000000"/>
          <w:sz w:val="32"/>
          <w:szCs w:val="32"/>
        </w:rPr>
        <w:t>培训，解决县域企业及用人单位招工难，促进县域经济发展，稳定全县就业局势。</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中央、省、县级财政就业创业补助</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3417</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4123.44</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120.67</w:t>
      </w:r>
      <w:r>
        <w:rPr>
          <w:rFonts w:hint="eastAsia" w:ascii="仿宋" w:hAnsi="仿宋" w:eastAsia="仿宋"/>
          <w:color w:val="000000"/>
          <w:sz w:val="32"/>
          <w:szCs w:val="32"/>
        </w:rPr>
        <w:t>%。通过项目实施，</w:t>
      </w:r>
      <w:r>
        <w:rPr>
          <w:rFonts w:hint="eastAsia" w:ascii="仿宋" w:hAnsi="仿宋" w:eastAsia="仿宋" w:cs="宋体"/>
          <w:sz w:val="32"/>
          <w:szCs w:val="32"/>
          <w:lang w:val="zh-CN" w:eastAsia="zh-CN"/>
        </w:rPr>
        <w:t>我局</w:t>
      </w:r>
      <w:r>
        <w:rPr>
          <w:rFonts w:hint="eastAsia" w:ascii="仿宋" w:hAnsi="仿宋" w:eastAsia="仿宋" w:cs="宋体"/>
          <w:sz w:val="32"/>
          <w:szCs w:val="32"/>
          <w:lang w:val="zh-CN"/>
        </w:rPr>
        <w:t>积极落实中央、省、市、县各级促进就业创业的决策部署，充分发挥直达资金惠民效应，助力企业发展，全力以赴保居民就业</w:t>
      </w:r>
      <w:r>
        <w:rPr>
          <w:rFonts w:hint="eastAsia" w:ascii="仿宋" w:hAnsi="仿宋" w:eastAsia="仿宋"/>
          <w:color w:val="000000"/>
          <w:sz w:val="32"/>
          <w:szCs w:val="32"/>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noWrap w:val="0"/>
            <w:tcMar>
              <w:top w:w="15" w:type="dxa"/>
              <w:left w:w="15" w:type="dxa"/>
              <w:right w:w="15" w:type="dxa"/>
            </w:tcMar>
            <w:vAlign w:val="center"/>
          </w:tcPr>
          <w:p>
            <w:pPr>
              <w:rPr>
                <w:rFonts w:hint="eastAsia"/>
              </w:rPr>
            </w:pPr>
          </w:p>
          <w:p/>
          <w:tbl>
            <w:tblPr>
              <w:tblStyle w:val="12"/>
              <w:tblpPr w:leftFromText="180" w:rightFromText="180" w:vertAnchor="text" w:horzAnchor="page" w:tblpXSpec="center" w:tblpY="423"/>
              <w:tblOverlap w:val="never"/>
              <w:tblW w:w="9923" w:type="dxa"/>
              <w:tblInd w:w="0" w:type="dxa"/>
              <w:tblLayout w:type="fixed"/>
              <w:tblCellMar>
                <w:top w:w="0" w:type="dxa"/>
                <w:left w:w="0" w:type="dxa"/>
                <w:bottom w:w="0" w:type="dxa"/>
                <w:right w:w="0" w:type="dxa"/>
              </w:tblCellMar>
            </w:tblPr>
            <w:tblGrid>
              <w:gridCol w:w="390"/>
              <w:gridCol w:w="1367"/>
              <w:gridCol w:w="1025"/>
              <w:gridCol w:w="2392"/>
              <w:gridCol w:w="2197"/>
              <w:gridCol w:w="197"/>
              <w:gridCol w:w="2355"/>
            </w:tblGrid>
            <w:tr>
              <w:tblPrEx>
                <w:tblCellMar>
                  <w:top w:w="0" w:type="dxa"/>
                  <w:left w:w="0" w:type="dxa"/>
                  <w:bottom w:w="0" w:type="dxa"/>
                  <w:right w:w="0" w:type="dxa"/>
                </w:tblCellMar>
              </w:tblPrEx>
              <w:trPr>
                <w:trHeight w:val="1034" w:hRule="atLeast"/>
              </w:trPr>
              <w:tc>
                <w:tcPr>
                  <w:tcW w:w="9923" w:type="dxa"/>
                  <w:gridSpan w:val="7"/>
                  <w:noWrap w:val="0"/>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2</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就业创业服务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tblPrEx>
                <w:tblCellMar>
                  <w:top w:w="0" w:type="dxa"/>
                  <w:left w:w="0" w:type="dxa"/>
                  <w:bottom w:w="0" w:type="dxa"/>
                  <w:right w:w="0" w:type="dxa"/>
                </w:tblCellMar>
              </w:tblPrEx>
              <w:trPr>
                <w:trHeight w:val="23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30.24</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30.24</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109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30.24</w:t>
                  </w:r>
                  <w:r>
                    <w:rPr>
                      <w:rFonts w:hint="eastAsia" w:ascii="宋体" w:hAnsi="宋体" w:cs="宋体"/>
                      <w:color w:val="000000"/>
                      <w:kern w:val="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30.24</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9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880"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54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pPr>
                    <w:widowControl/>
                    <w:jc w:val="center"/>
                    <w:textAlignment w:val="center"/>
                    <w:rPr>
                      <w:rFonts w:ascii="宋体" w:hAnsi="宋体" w:cs="宋体"/>
                      <w:color w:val="000000"/>
                      <w:kern w:val="0"/>
                      <w:sz w:val="24"/>
                    </w:rPr>
                  </w:pPr>
                </w:p>
              </w:tc>
              <w:tc>
                <w:tcPr>
                  <w:tcW w:w="47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促进就业创业，增加广大城乡劳动者收入，促进县域经济发展，稳定全县就业局势。</w:t>
                  </w:r>
                </w:p>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职业技能培训鉴定和创业培训调查核实，就业困难人员灵活就业社保补贴调查核实，下岗失业人员档案管理资料份数，失业保险经办服务，就业政策信息发布宣传资料，职业介绍、职业指导，就业创业基础性工作.</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宋体" w:hAnsi="宋体" w:cs="宋体"/>
                      <w:color w:val="000000"/>
                      <w:sz w:val="24"/>
                      <w:lang w:val="en-US"/>
                    </w:rPr>
                  </w:pPr>
                  <w:r>
                    <w:rPr>
                      <w:rFonts w:hint="eastAsia" w:ascii="宋体" w:hAnsi="宋体" w:cs="宋体"/>
                      <w:color w:val="000000"/>
                      <w:sz w:val="24"/>
                    </w:rPr>
                    <w:t xml:space="preserve"> 城镇新增就业</w:t>
                  </w:r>
                  <w:r>
                    <w:rPr>
                      <w:rFonts w:hint="eastAsia" w:ascii="宋体" w:hAnsi="宋体" w:cs="宋体"/>
                      <w:color w:val="000000"/>
                      <w:sz w:val="24"/>
                      <w:lang w:val="en-US" w:eastAsia="zh-CN"/>
                    </w:rPr>
                    <w:t>6000</w:t>
                  </w:r>
                  <w:r>
                    <w:rPr>
                      <w:rFonts w:hint="eastAsia" w:ascii="宋体" w:hAnsi="宋体" w:cs="宋体"/>
                      <w:color w:val="000000"/>
                      <w:sz w:val="24"/>
                    </w:rPr>
                    <w:t>人，失业人员再就业</w:t>
                  </w:r>
                  <w:r>
                    <w:rPr>
                      <w:rFonts w:hint="eastAsia" w:ascii="宋体" w:hAnsi="宋体" w:cs="宋体"/>
                      <w:color w:val="000000"/>
                      <w:sz w:val="24"/>
                      <w:lang w:val="en-US" w:eastAsia="zh-CN"/>
                    </w:rPr>
                    <w:t>1500</w:t>
                  </w:r>
                  <w:r>
                    <w:rPr>
                      <w:rFonts w:hint="eastAsia" w:ascii="宋体" w:hAnsi="宋体" w:cs="宋体"/>
                      <w:color w:val="000000"/>
                      <w:sz w:val="24"/>
                    </w:rPr>
                    <w:t>人，失业保险参保人数</w:t>
                  </w:r>
                  <w:r>
                    <w:rPr>
                      <w:rFonts w:hint="eastAsia" w:ascii="宋体" w:hAnsi="宋体" w:cs="宋体"/>
                      <w:color w:val="000000"/>
                      <w:sz w:val="24"/>
                      <w:lang w:val="en-US" w:eastAsia="zh-CN"/>
                    </w:rPr>
                    <w:t>40000</w:t>
                  </w:r>
                  <w:r>
                    <w:rPr>
                      <w:rFonts w:hint="eastAsia" w:ascii="宋体" w:hAnsi="宋体" w:cs="宋体"/>
                      <w:color w:val="000000"/>
                      <w:sz w:val="24"/>
                    </w:rPr>
                    <w:t>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5500人，发放创业担保贷款3700万元。</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rPr>
                    <w:t>完成城镇新增就业</w:t>
                  </w:r>
                  <w:r>
                    <w:rPr>
                      <w:rFonts w:hint="eastAsia" w:ascii="宋体" w:hAnsi="宋体" w:cs="宋体"/>
                      <w:color w:val="000000"/>
                      <w:sz w:val="24"/>
                      <w:lang w:val="en-US" w:eastAsia="zh-CN"/>
                    </w:rPr>
                    <w:t>6771</w:t>
                  </w:r>
                  <w:r>
                    <w:rPr>
                      <w:rFonts w:hint="eastAsia" w:ascii="宋体" w:hAnsi="宋体" w:cs="宋体"/>
                      <w:color w:val="000000"/>
                      <w:sz w:val="24"/>
                    </w:rPr>
                    <w:t>人，失业人员再就业</w:t>
                  </w:r>
                  <w:r>
                    <w:rPr>
                      <w:rFonts w:hint="eastAsia" w:ascii="宋体" w:hAnsi="宋体" w:cs="宋体"/>
                      <w:color w:val="000000"/>
                      <w:sz w:val="24"/>
                      <w:lang w:val="en-US" w:eastAsia="zh-CN"/>
                    </w:rPr>
                    <w:t>1699</w:t>
                  </w:r>
                  <w:r>
                    <w:rPr>
                      <w:rFonts w:hint="eastAsia" w:ascii="宋体" w:hAnsi="宋体" w:cs="宋体"/>
                      <w:color w:val="000000"/>
                      <w:sz w:val="24"/>
                    </w:rPr>
                    <w:t>人，失业保险参保人数</w:t>
                  </w:r>
                  <w:r>
                    <w:rPr>
                      <w:rFonts w:hint="eastAsia" w:ascii="宋体" w:hAnsi="宋体" w:cs="宋体"/>
                      <w:color w:val="000000"/>
                      <w:sz w:val="24"/>
                      <w:lang w:val="en-US" w:eastAsia="zh-CN"/>
                    </w:rPr>
                    <w:t>40818</w:t>
                  </w:r>
                  <w:r>
                    <w:rPr>
                      <w:rFonts w:hint="eastAsia" w:ascii="宋体" w:hAnsi="宋体" w:cs="宋体"/>
                      <w:color w:val="000000"/>
                      <w:sz w:val="24"/>
                    </w:rPr>
                    <w:t>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5561人，发放创业担保贷款3764万元。</w:t>
                  </w:r>
                </w:p>
              </w:tc>
            </w:tr>
            <w:tr>
              <w:tblPrEx>
                <w:tblCellMar>
                  <w:top w:w="0" w:type="dxa"/>
                  <w:left w:w="0" w:type="dxa"/>
                  <w:bottom w:w="0" w:type="dxa"/>
                  <w:right w:w="0" w:type="dxa"/>
                </w:tblCellMar>
              </w:tblPrEx>
              <w:trPr>
                <w:trHeight w:val="82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项目推进时限</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按年初工作计划，适时开展，年底全面完成</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全面完成工作计划</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30.24</w:t>
                  </w:r>
                  <w:r>
                    <w:rPr>
                      <w:rFonts w:hint="eastAsia" w:ascii="宋体" w:hAnsi="宋体" w:cs="宋体"/>
                      <w:color w:val="000000"/>
                      <w:sz w:val="24"/>
                    </w:rPr>
                    <w:t>万元</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30.24</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城乡居民可支配收入增长，贫困人口家庭收入增长</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通过此项目的实施，带动城乡居民可支配收入和贫困劳动者家庭收入的增长。</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rPr>
                    <w:t>通过此项目的实施，带动城乡居民可支配收入和贫困劳动者家庭收入的增长。</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促进社会稳定</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通过项目的实施，稳定就业，促进社会和谐稳定。</w:t>
                  </w:r>
                </w:p>
              </w:tc>
            </w:tr>
            <w:tr>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19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通过项目的实施，促进就业创业，增加广大城乡劳动者收入，增强群众的获得感、幸福感和满意度。</w:t>
                  </w:r>
                </w:p>
              </w:tc>
              <w:tc>
                <w:tcPr>
                  <w:tcW w:w="25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促进就业创业，增加广大城乡劳动者收入，增强群众的获得感、幸福感和满意度。</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21"/>
              <w:gridCol w:w="2465"/>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pPr>
                    <w:pStyle w:val="23"/>
                    <w:widowControl/>
                    <w:ind w:left="4173" w:leftChars="1310" w:hanging="1422" w:hangingChars="395"/>
                    <w:textAlignment w:val="center"/>
                    <w:rPr>
                      <w:rFonts w:ascii="宋体" w:hAnsi="宋体" w:cs="宋体"/>
                      <w:color w:val="000000"/>
                      <w:sz w:val="36"/>
                      <w:szCs w:val="36"/>
                    </w:rPr>
                  </w:pP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2</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332"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中央、省、县级财政就业创业补助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泸县就业服务管理局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3417</w:t>
                  </w:r>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4123.44</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101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3417</w:t>
                  </w:r>
                  <w:r>
                    <w:rPr>
                      <w:rFonts w:hint="eastAsia" w:ascii="宋体" w:hAnsi="宋体" w:cs="宋体"/>
                      <w:color w:val="000000"/>
                      <w:kern w:val="0"/>
                      <w:sz w:val="24"/>
                    </w:rPr>
                    <w:t>万元</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val="en-US" w:eastAsia="zh-CN"/>
                    </w:rPr>
                    <w:t>4123.44</w:t>
                  </w:r>
                  <w:r>
                    <w:rPr>
                      <w:rFonts w:hint="eastAsia" w:ascii="宋体" w:hAnsi="宋体" w:cs="宋体"/>
                      <w:color w:val="000000"/>
                      <w:kern w:val="0"/>
                      <w:sz w:val="24"/>
                    </w:rPr>
                    <w:t>万元</w:t>
                  </w:r>
                </w:p>
              </w:tc>
            </w:tr>
            <w:tr>
              <w:tblPrEx>
                <w:tblCellMar>
                  <w:top w:w="0" w:type="dxa"/>
                  <w:left w:w="0" w:type="dxa"/>
                  <w:bottom w:w="0" w:type="dxa"/>
                  <w:right w:w="0" w:type="dxa"/>
                </w:tblCellMar>
              </w:tblPrEx>
              <w:trPr>
                <w:trHeight w:val="3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0" w:type="dxa"/>
                  <w:bottom w:w="0" w:type="dxa"/>
                  <w:right w:w="0" w:type="dxa"/>
                </w:tblCellMar>
              </w:tblPrEx>
              <w:trPr>
                <w:trHeight w:val="877"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9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rPr>
                      <w:rFonts w:ascii="宋体" w:hAnsi="宋体" w:cs="宋体"/>
                      <w:color w:val="000000"/>
                      <w:sz w:val="24"/>
                    </w:rPr>
                  </w:pPr>
                </w:p>
              </w:tc>
              <w:tc>
                <w:tcPr>
                  <w:tcW w:w="471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c>
                <w:tcPr>
                  <w:tcW w:w="4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全面强化就业优先政策，大力落实中央、省、市、县就业创业政策,确保各项政策有效落地落实，就业政策扶持效应得到充分发挥，促进了我县就业局势的稳定。</w:t>
                  </w:r>
                </w:p>
              </w:tc>
            </w:tr>
            <w:tr>
              <w:tblPrEx>
                <w:tblCellMar>
                  <w:top w:w="0" w:type="dxa"/>
                  <w:left w:w="0" w:type="dxa"/>
                  <w:bottom w:w="0" w:type="dxa"/>
                  <w:right w:w="0" w:type="dxa"/>
                </w:tblCellMar>
              </w:tblPrEx>
              <w:trPr>
                <w:trHeight w:val="953"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宋体" w:hAnsi="宋体" w:cs="宋体"/>
                      <w:color w:val="000000"/>
                      <w:sz w:val="24"/>
                      <w:lang w:val="en-US"/>
                    </w:rPr>
                  </w:pPr>
                  <w:r>
                    <w:rPr>
                      <w:rFonts w:hint="eastAsia" w:ascii="宋体" w:hAnsi="宋体" w:cs="宋体"/>
                      <w:color w:val="000000"/>
                      <w:sz w:val="24"/>
                      <w:lang w:eastAsia="zh-CN"/>
                    </w:rPr>
                    <w:t>收集县内就业岗位</w:t>
                  </w:r>
                  <w:r>
                    <w:rPr>
                      <w:rFonts w:hint="eastAsia" w:ascii="宋体" w:hAnsi="宋体" w:cs="宋体"/>
                      <w:color w:val="000000"/>
                      <w:sz w:val="24"/>
                      <w:lang w:val="en-US" w:eastAsia="zh-CN"/>
                    </w:rPr>
                    <w:t>1万个，举办各类专场招聘活动20场，开发各类公益性岗位2500人，为120名创业人员发放创业补贴，为67名创业者和9家小微企业发放创业担保贷款，促进创业2000余人，带动就业3000余人，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5561人。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完成收集县内就业岗位</w:t>
                  </w:r>
                  <w:r>
                    <w:rPr>
                      <w:rFonts w:hint="eastAsia" w:ascii="宋体" w:hAnsi="宋体" w:cs="宋体"/>
                      <w:color w:val="000000"/>
                      <w:sz w:val="24"/>
                      <w:lang w:val="en-US" w:eastAsia="zh-CN"/>
                    </w:rPr>
                    <w:t>1万余个，举办各类专场招聘活动23场，开发各类公益性岗位2899人，为120名创业人员发放创业补贴，为67名创业者和9家小微企业发放创业担保贷款，促进创业2074人，带动就业3038人，</w:t>
                  </w:r>
                  <w:r>
                    <w:rPr>
                      <w:rFonts w:hint="eastAsia" w:ascii="宋体" w:hAnsi="宋体" w:cs="宋体"/>
                      <w:color w:val="000000"/>
                      <w:sz w:val="24"/>
                      <w:lang w:eastAsia="zh-CN"/>
                    </w:rPr>
                    <w:t>开展技能培训</w:t>
                  </w:r>
                  <w:r>
                    <w:rPr>
                      <w:rFonts w:hint="eastAsia" w:ascii="宋体" w:hAnsi="宋体" w:cs="宋体"/>
                      <w:color w:val="000000"/>
                      <w:sz w:val="24"/>
                      <w:lang w:val="en-US" w:eastAsia="zh-CN"/>
                    </w:rPr>
                    <w:t>5561人。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项目完成质量达标率</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r>
                    <w:rPr>
                      <w:rFonts w:hint="eastAsia" w:ascii="宋体" w:hAnsi="宋体" w:cs="宋体"/>
                      <w:color w:val="000000"/>
                      <w:sz w:val="24"/>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项目总成本</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3417</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4123.44</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240" w:firstLineChars="100"/>
                    <w:textAlignment w:val="center"/>
                    <w:rPr>
                      <w:rFonts w:ascii="宋体" w:hAns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群众关心、关注的民生热点问题解决情况</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把民生问题放在首位，尽最大限度解决好群众关心、关注的民生问题。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最大限度的解决好了群众关心、关注的民生问题。</w:t>
                  </w:r>
                </w:p>
              </w:tc>
            </w:tr>
            <w:tr>
              <w:tblPrEx>
                <w:tblCellMar>
                  <w:top w:w="0" w:type="dxa"/>
                  <w:left w:w="0" w:type="dxa"/>
                  <w:bottom w:w="0" w:type="dxa"/>
                  <w:right w:w="0" w:type="dxa"/>
                </w:tblCellMar>
              </w:tblPrEx>
              <w:trPr>
                <w:trHeight w:val="145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2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4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会务工作及后勤保障安排科学周到，服务质量良好，无差错。</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满意度</w:t>
                  </w:r>
                  <w:r>
                    <w:rPr>
                      <w:rFonts w:hint="eastAsia" w:ascii="微软雅黑" w:hAnsi="微软雅黑" w:eastAsia="微软雅黑" w:cs="微软雅黑"/>
                      <w:color w:val="000000"/>
                      <w:sz w:val="24"/>
                    </w:rPr>
                    <w:t>&gt;</w:t>
                  </w:r>
                  <w:r>
                    <w:rPr>
                      <w:rFonts w:hint="eastAsia" w:ascii="宋体" w:hAnsi="宋体" w:cs="宋体"/>
                      <w:color w:val="000000"/>
                      <w:sz w:val="24"/>
                    </w:rPr>
                    <w:t>98%</w:t>
                  </w:r>
                </w:p>
              </w:tc>
            </w:tr>
          </w:tbl>
          <w:p>
            <w:pPr>
              <w:widowControl/>
              <w:jc w:val="both"/>
              <w:textAlignment w:val="center"/>
              <w:rPr>
                <w:rFonts w:ascii="宋体" w:cs="宋体"/>
                <w:color w:val="000000"/>
                <w:sz w:val="36"/>
                <w:szCs w:val="36"/>
              </w:rPr>
            </w:pPr>
          </w:p>
        </w:tc>
      </w:tr>
    </w:tbl>
    <w:p>
      <w:pPr>
        <w:spacing w:line="580" w:lineRule="exact"/>
        <w:ind w:left="630"/>
        <w:rPr>
          <w:rFonts w:hint="eastAsia"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w:t>
      </w:r>
      <w:r>
        <w:rPr>
          <w:rFonts w:hint="eastAsia" w:ascii="仿宋" w:hAnsi="仿宋" w:eastAsia="仿宋" w:cs="仿宋_GB2312"/>
          <w:sz w:val="32"/>
          <w:szCs w:val="32"/>
          <w:lang w:eastAsia="zh-CN"/>
        </w:rPr>
        <w:t>单位</w:t>
      </w:r>
      <w:r>
        <w:rPr>
          <w:rFonts w:hint="eastAsia" w:ascii="仿宋" w:hAnsi="仿宋" w:eastAsia="仿宋" w:cs="仿宋_GB2312"/>
          <w:sz w:val="32"/>
          <w:szCs w:val="32"/>
        </w:rPr>
        <w:t>整体支出绩效评价情况开展自评，《泸县就业服务管理局202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年部门整体支出绩效评价报告》见附件。</w:t>
      </w:r>
    </w:p>
    <w:p>
      <w:pPr>
        <w:widowControl/>
        <w:jc w:val="left"/>
        <w:rPr>
          <w:rFonts w:ascii="仿宋_GB2312" w:eastAsia="仿宋_GB2312"/>
          <w:b/>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sz w:val="44"/>
          <w:szCs w:val="44"/>
        </w:rPr>
      </w:pPr>
    </w:p>
    <w:p>
      <w:pPr>
        <w:pStyle w:val="22"/>
        <w:spacing w:line="560" w:lineRule="exact"/>
        <w:ind w:firstLine="643" w:firstLineChars="200"/>
        <w:rPr>
          <w:rFonts w:hAnsi="仿宋"/>
          <w:sz w:val="32"/>
          <w:szCs w:val="32"/>
        </w:rPr>
      </w:pPr>
      <w:r>
        <w:rPr>
          <w:rFonts w:hint="eastAsia" w:hAnsi="仿宋"/>
          <w:b/>
          <w:sz w:val="32"/>
          <w:szCs w:val="32"/>
        </w:rPr>
        <w:t>1.财政拨款收入</w:t>
      </w:r>
      <w:r>
        <w:rPr>
          <w:rFonts w:hint="eastAsia" w:hAnsi="仿宋"/>
          <w:sz w:val="32"/>
          <w:szCs w:val="32"/>
        </w:rPr>
        <w:t>：指单位从同级财政部门取得的财政预算资金。</w:t>
      </w:r>
    </w:p>
    <w:p>
      <w:pPr>
        <w:pStyle w:val="22"/>
        <w:spacing w:line="560" w:lineRule="exact"/>
        <w:ind w:firstLine="643" w:firstLineChars="200"/>
        <w:rPr>
          <w:rFonts w:hAnsi="仿宋"/>
          <w:sz w:val="32"/>
          <w:szCs w:val="32"/>
        </w:rPr>
      </w:pPr>
      <w:r>
        <w:rPr>
          <w:rFonts w:hint="eastAsia" w:hAnsi="仿宋"/>
          <w:b/>
          <w:sz w:val="32"/>
          <w:szCs w:val="32"/>
        </w:rPr>
        <w:t>2.事业收入</w:t>
      </w:r>
      <w:r>
        <w:rPr>
          <w:rFonts w:hint="eastAsia" w:hAnsi="仿宋"/>
          <w:sz w:val="32"/>
          <w:szCs w:val="32"/>
        </w:rPr>
        <w:t>：指事业单位开展专业业务活动及辅助活动取得的收入。如…（二级预算单位事业收入情况）等。</w:t>
      </w:r>
    </w:p>
    <w:p>
      <w:pPr>
        <w:pStyle w:val="22"/>
        <w:spacing w:line="560" w:lineRule="exact"/>
        <w:ind w:firstLine="643" w:firstLineChars="200"/>
        <w:rPr>
          <w:rFonts w:hAnsi="仿宋"/>
          <w:sz w:val="32"/>
          <w:szCs w:val="32"/>
        </w:rPr>
      </w:pPr>
      <w:r>
        <w:rPr>
          <w:rFonts w:hint="eastAsia" w:hAnsi="仿宋"/>
          <w:b/>
          <w:sz w:val="32"/>
          <w:szCs w:val="32"/>
        </w:rPr>
        <w:t>3.经营收入</w:t>
      </w:r>
      <w:r>
        <w:rPr>
          <w:rFonts w:hint="eastAsia" w:hAnsi="仿宋"/>
          <w:sz w:val="32"/>
          <w:szCs w:val="32"/>
        </w:rPr>
        <w:t>：指事业单位在专业业务活动及其辅助活动之外开展非独立核算经营活动取得的收入。如…（二级预算单位经营收入情况）等。</w:t>
      </w:r>
    </w:p>
    <w:p>
      <w:pPr>
        <w:pStyle w:val="22"/>
        <w:spacing w:line="560" w:lineRule="exact"/>
        <w:ind w:firstLine="643" w:firstLineChars="200"/>
        <w:rPr>
          <w:rFonts w:hAnsi="仿宋"/>
          <w:sz w:val="32"/>
          <w:szCs w:val="32"/>
        </w:rPr>
      </w:pPr>
      <w:r>
        <w:rPr>
          <w:rFonts w:hint="eastAsia" w:hAnsi="仿宋"/>
          <w:b/>
          <w:sz w:val="32"/>
          <w:szCs w:val="32"/>
        </w:rPr>
        <w:t>4.其他收入</w:t>
      </w:r>
      <w:r>
        <w:rPr>
          <w:rFonts w:hint="eastAsia" w:hAnsi="仿宋"/>
          <w:sz w:val="32"/>
          <w:szCs w:val="32"/>
        </w:rPr>
        <w:t xml:space="preserve">：指单位取得的除上述收入以外的各项收入。 </w:t>
      </w:r>
    </w:p>
    <w:p>
      <w:pPr>
        <w:pStyle w:val="22"/>
        <w:spacing w:line="560" w:lineRule="exact"/>
        <w:ind w:firstLine="643" w:firstLineChars="200"/>
        <w:rPr>
          <w:rFonts w:hAnsi="仿宋"/>
          <w:sz w:val="32"/>
          <w:szCs w:val="32"/>
        </w:rPr>
      </w:pPr>
      <w:r>
        <w:rPr>
          <w:rFonts w:hint="eastAsia" w:hAnsi="仿宋"/>
          <w:b/>
          <w:sz w:val="32"/>
          <w:szCs w:val="32"/>
        </w:rPr>
        <w:t>5.用事业基金弥补收支差额</w:t>
      </w:r>
      <w:r>
        <w:rPr>
          <w:rFonts w:hint="eastAsia" w:hAnsi="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3" w:firstLineChars="200"/>
        <w:rPr>
          <w:rFonts w:hAnsi="仿宋"/>
          <w:sz w:val="32"/>
          <w:szCs w:val="32"/>
        </w:rPr>
      </w:pPr>
      <w:r>
        <w:rPr>
          <w:rFonts w:hint="eastAsia" w:hAnsi="仿宋"/>
          <w:b/>
          <w:sz w:val="32"/>
          <w:szCs w:val="32"/>
        </w:rPr>
        <w:t>6.年初结转和结余</w:t>
      </w:r>
      <w:r>
        <w:rPr>
          <w:rFonts w:hint="eastAsia" w:hAnsi="仿宋"/>
          <w:sz w:val="32"/>
          <w:szCs w:val="32"/>
        </w:rPr>
        <w:t xml:space="preserve">：指以前年度尚未完成、结转到本年按有关规定继续使用的资金。 </w:t>
      </w:r>
    </w:p>
    <w:p>
      <w:pPr>
        <w:pStyle w:val="22"/>
        <w:spacing w:line="560" w:lineRule="exact"/>
        <w:ind w:firstLine="643" w:firstLineChars="200"/>
        <w:rPr>
          <w:rFonts w:hAnsi="仿宋"/>
          <w:sz w:val="32"/>
          <w:szCs w:val="32"/>
        </w:rPr>
      </w:pPr>
      <w:r>
        <w:rPr>
          <w:rFonts w:hint="eastAsia" w:hAnsi="仿宋"/>
          <w:b/>
          <w:sz w:val="32"/>
          <w:szCs w:val="32"/>
        </w:rPr>
        <w:t>7.结余分配</w:t>
      </w:r>
      <w:r>
        <w:rPr>
          <w:rFonts w:hint="eastAsia" w:hAnsi="仿宋"/>
          <w:sz w:val="32"/>
          <w:szCs w:val="32"/>
        </w:rPr>
        <w:t>：指事业单位按照事业单位会计制度的规定从非财政补助结余中分配的事业基金和职工福利基金等。</w:t>
      </w:r>
    </w:p>
    <w:p>
      <w:pPr>
        <w:pStyle w:val="22"/>
        <w:spacing w:line="560" w:lineRule="exact"/>
        <w:ind w:firstLine="643" w:firstLineChars="200"/>
        <w:rPr>
          <w:rFonts w:hAnsi="仿宋"/>
          <w:sz w:val="32"/>
          <w:szCs w:val="32"/>
        </w:rPr>
      </w:pPr>
      <w:r>
        <w:rPr>
          <w:rFonts w:hint="eastAsia" w:hAnsi="仿宋"/>
          <w:b/>
          <w:sz w:val="32"/>
          <w:szCs w:val="32"/>
        </w:rPr>
        <w:t>8、年末结转和结余</w:t>
      </w:r>
      <w:r>
        <w:rPr>
          <w:rFonts w:hint="eastAsia" w:hAnsi="仿宋"/>
          <w:sz w:val="32"/>
          <w:szCs w:val="32"/>
        </w:rPr>
        <w:t>：指单位按有关规定结转到下年或以后年度继续使用的资金。</w:t>
      </w:r>
    </w:p>
    <w:p>
      <w:pPr>
        <w:pStyle w:val="22"/>
        <w:spacing w:line="560" w:lineRule="exact"/>
        <w:ind w:firstLine="643" w:firstLineChars="200"/>
        <w:rPr>
          <w:rFonts w:hAnsi="仿宋"/>
          <w:sz w:val="32"/>
          <w:szCs w:val="32"/>
        </w:rPr>
      </w:pPr>
      <w:r>
        <w:rPr>
          <w:rFonts w:hint="eastAsia" w:hAnsi="仿宋"/>
          <w:b/>
          <w:sz w:val="32"/>
          <w:szCs w:val="32"/>
        </w:rPr>
        <w:t>9、208社会保障和就业支出</w:t>
      </w:r>
      <w:r>
        <w:rPr>
          <w:rFonts w:hint="eastAsia" w:hAnsi="仿宋"/>
          <w:sz w:val="32"/>
          <w:szCs w:val="32"/>
        </w:rPr>
        <w:t>：指政府在社会保障与就业方面的支出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20801人力资源和社会保障管理事务：指人力资源和社会保障管理事务支出。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2080109社会保险经办机构：指社会保险经办机构开展业务工作支出。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20805行政事业单位养老支出：指用于行政事业单位养老方面的支出。</w:t>
      </w:r>
    </w:p>
    <w:p>
      <w:pPr>
        <w:ind w:firstLine="640" w:firstLineChars="200"/>
        <w:rPr>
          <w:rFonts w:ascii="仿宋" w:hAnsi="仿宋" w:eastAsia="仿宋"/>
          <w:color w:val="FF0000"/>
          <w:sz w:val="32"/>
          <w:szCs w:val="32"/>
        </w:rPr>
      </w:pPr>
      <w:r>
        <w:rPr>
          <w:rFonts w:hint="eastAsia" w:ascii="仿宋" w:hAnsi="仿宋" w:eastAsia="仿宋"/>
          <w:color w:val="000000"/>
          <w:sz w:val="32"/>
          <w:szCs w:val="32"/>
        </w:rPr>
        <w:t>2080505机关事业单位基本养老保险缴费支出：指</w:t>
      </w:r>
      <w:r>
        <w:rPr>
          <w:rFonts w:hint="eastAsia" w:ascii="仿宋" w:hAnsi="仿宋" w:eastAsia="仿宋"/>
          <w:sz w:val="32"/>
          <w:szCs w:val="32"/>
        </w:rPr>
        <w:t>机关事业单位实施养老保险制度由单位缴纳的基本养老保险费支出。</w:t>
      </w:r>
    </w:p>
    <w:p>
      <w:pPr>
        <w:ind w:firstLine="643" w:firstLineChars="200"/>
        <w:rPr>
          <w:rFonts w:ascii="仿宋" w:hAnsi="仿宋" w:eastAsia="仿宋"/>
          <w:sz w:val="32"/>
          <w:szCs w:val="32"/>
        </w:rPr>
      </w:pPr>
      <w:r>
        <w:rPr>
          <w:rFonts w:hint="eastAsia" w:ascii="仿宋" w:hAnsi="仿宋" w:eastAsia="仿宋"/>
          <w:b/>
          <w:sz w:val="32"/>
          <w:szCs w:val="32"/>
        </w:rPr>
        <w:t>10、210卫生健康支出</w:t>
      </w:r>
      <w:r>
        <w:rPr>
          <w:rFonts w:hint="eastAsia" w:ascii="仿宋" w:hAnsi="仿宋" w:eastAsia="仿宋"/>
          <w:sz w:val="32"/>
          <w:szCs w:val="32"/>
        </w:rPr>
        <w:t>：反映政府卫生健康方面的支出。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21011行政事业单位医疗：反映行政事业单位医疗方面的支出。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2101101行政单位医疗：反映财政部门集中安排的行政单位基本医疗保险缴费经费，未参加医疗保险的行政单位的公费医疗经费，按国家规定享受离休人员、红军老战士待遇人员的医疗经费。</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11、211节能环保支出</w:t>
      </w:r>
      <w:r>
        <w:rPr>
          <w:rFonts w:hint="eastAsia" w:ascii="仿宋" w:hAnsi="仿宋" w:eastAsia="仿宋"/>
          <w:color w:val="000000"/>
          <w:sz w:val="32"/>
          <w:szCs w:val="32"/>
        </w:rPr>
        <w:t>：反映政府节能环保支出。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21199其他节能环保支出：反映其他用于节能环保方面的支出。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2119901其他节能环保支出：反映其他用于节能环保方面的支出。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12、221住房保障支出</w:t>
      </w:r>
      <w:r>
        <w:rPr>
          <w:rFonts w:hint="eastAsia" w:ascii="仿宋" w:hAnsi="仿宋" w:eastAsia="仿宋"/>
          <w:color w:val="000000"/>
          <w:sz w:val="32"/>
          <w:szCs w:val="32"/>
        </w:rPr>
        <w:t>：集中反映政府用于住房方面的支出。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22102住房改革支出：反映行政事业单位用财政拨款资金和其他资金等安排的住房改革支出。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2210201住房公积金：指反映行政事业单位按人力资源和社会保障部、财政部规定的基本工资和津贴补贴以及规定比例为职工缴纳的住房公积金。</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13、基本支出</w:t>
      </w:r>
      <w:r>
        <w:rPr>
          <w:rFonts w:hint="eastAsia" w:ascii="仿宋" w:hAnsi="仿宋" w:eastAsia="仿宋"/>
          <w:color w:val="000000"/>
          <w:sz w:val="32"/>
          <w:szCs w:val="32"/>
        </w:rPr>
        <w:t>：指为保障机构正常运转、完成日常工作任务而发生的人员支出和公用支出。</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14、项目支出</w:t>
      </w:r>
      <w:r>
        <w:rPr>
          <w:rFonts w:hint="eastAsia" w:ascii="仿宋" w:hAnsi="仿宋" w:eastAsia="仿宋"/>
          <w:color w:val="000000"/>
          <w:sz w:val="32"/>
          <w:szCs w:val="32"/>
        </w:rPr>
        <w:t xml:space="preserve">：指在基本支出之外为完成特定行政任务和事业发展目标所发生的支出。 </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15、经营支出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spacing w:line="560" w:lineRule="exact"/>
        <w:ind w:firstLine="643" w:firstLineChars="200"/>
        <w:rPr>
          <w:rFonts w:hAnsi="仿宋"/>
          <w:sz w:val="32"/>
          <w:szCs w:val="32"/>
        </w:rPr>
      </w:pPr>
      <w:r>
        <w:rPr>
          <w:rFonts w:hint="eastAsia" w:hAnsi="仿宋"/>
          <w:b/>
          <w:sz w:val="32"/>
          <w:szCs w:val="32"/>
        </w:rPr>
        <w:t>16、“三公”经费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3" w:firstLineChars="200"/>
        <w:rPr>
          <w:rFonts w:hAnsi="仿宋"/>
          <w:b/>
          <w:sz w:val="44"/>
          <w:szCs w:val="44"/>
        </w:rPr>
      </w:pPr>
      <w:r>
        <w:rPr>
          <w:rFonts w:hint="eastAsia" w:hAnsi="仿宋"/>
          <w:b/>
          <w:sz w:val="32"/>
          <w:szCs w:val="32"/>
        </w:rPr>
        <w:t>17、机关运行经费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rPr>
          <w:rFonts w:hint="eastAsia" w:ascii="方正小标宋简体" w:hAnsi="宋体" w:eastAsia="方正小标宋简体"/>
          <w:color w:val="000000"/>
          <w:kern w:val="0"/>
          <w:sz w:val="40"/>
          <w:szCs w:val="44"/>
        </w:rPr>
      </w:pPr>
      <w:bookmarkStart w:id="53" w:name="_Toc15396618"/>
      <w:r>
        <w:rPr>
          <w:rFonts w:hint="eastAsia" w:ascii="方正小标宋简体" w:hAnsi="宋体" w:eastAsia="方正小标宋简体"/>
          <w:color w:val="000000"/>
          <w:kern w:val="0"/>
          <w:sz w:val="40"/>
          <w:szCs w:val="44"/>
        </w:rPr>
        <w:t>泸县就业服务管理局</w:t>
      </w:r>
    </w:p>
    <w:p>
      <w:pPr>
        <w:spacing w:line="600" w:lineRule="exact"/>
        <w:jc w:val="center"/>
        <w:rPr>
          <w:rFonts w:ascii="仿宋" w:hAnsi="仿宋" w:eastAsia="仿宋"/>
          <w:color w:val="000000"/>
          <w:sz w:val="32"/>
          <w:szCs w:val="32"/>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2</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一、部门预算管理</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按照202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年度部门预算编审要求，根据我局职责、结合中长期规划和年度工作计划，认真</w:t>
      </w:r>
      <w:bookmarkStart w:id="67" w:name="_GoBack"/>
      <w:bookmarkEnd w:id="67"/>
      <w:r>
        <w:rPr>
          <w:rFonts w:hint="eastAsia" w:ascii="仿宋" w:hAnsi="仿宋" w:eastAsia="仿宋" w:cs="仿宋_GB2312"/>
          <w:sz w:val="32"/>
          <w:szCs w:val="32"/>
        </w:rPr>
        <w:t>填报了我局整体支出绩效目标，</w:t>
      </w:r>
      <w:r>
        <w:rPr>
          <w:rFonts w:hint="eastAsia" w:ascii="仿宋" w:hAnsi="仿宋" w:eastAsia="仿宋"/>
          <w:color w:val="000000"/>
          <w:sz w:val="32"/>
          <w:szCs w:val="32"/>
        </w:rPr>
        <w:t>按要求对</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年部门整体支出开展绩效自评，从评价情况来看202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年我局部门整体支出绩效评价良好，全年基本支出保证了部门的正常运行和日常工作的正常开展，项目支出保障了重点工作的开展，确保了全县就业局势稳定。</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对本单位职能的梳理，结合局机关中长期规划和全年工作计划、工作任务，以定量和定性相结合的方式，确定了本部门整体支出绩效目标，确保了绩效目标编制质量，及时将绩效评价中发现的问题进行了整改和反馈，较好的完成了本部门整体支出绩效评价工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年我单位整体支出绩效评价自评结果良好，全年基本支出保证了部门的正常运行和日常工作的正常开展，达到了预期绩效目标。</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预算控制有待加强，绩效目标编制不够细化，合理性有待提高。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针对存在的问题，我们将进一步科学设定绩效目标，加强预算执行管理。一是进一步改进部门收支预算编制基础工作，提高预算编制质量；二是认真研究政策，加强项目绩效目标编制，力求科学合理；三是提早规划，提前实施，确保项目顺利实施，提高资金使用效益。</w:t>
      </w:r>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ascii="黑体" w:hAnsi="黑体" w:eastAsia="黑体" w:cs="黑体"/>
          <w:sz w:val="32"/>
          <w:szCs w:val="32"/>
        </w:rPr>
      </w:pPr>
      <w:r>
        <w:rPr>
          <w:rFonts w:hint="eastAsia" w:ascii="宋体" w:hAnsi="宋体" w:eastAsia="宋体" w:cs="宋体"/>
          <w:color w:val="auto"/>
          <w:kern w:val="0"/>
          <w:sz w:val="32"/>
          <w:szCs w:val="32"/>
          <w:highlight w:val="none"/>
          <w:lang w:val="en-US" w:eastAsia="zh-CN" w:bidi="ar-SA"/>
        </w:rPr>
        <w:t>部门预算项目支出绩效自评表（2022年度）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一级指标</w:t>
            </w:r>
          </w:p>
        </w:tc>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二级指标</w:t>
            </w:r>
          </w:p>
        </w:tc>
        <w:tc>
          <w:tcPr>
            <w:tcW w:w="1704"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三级指标</w:t>
            </w:r>
          </w:p>
        </w:tc>
        <w:tc>
          <w:tcPr>
            <w:tcW w:w="1705"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指标分值</w:t>
            </w:r>
          </w:p>
        </w:tc>
        <w:tc>
          <w:tcPr>
            <w:tcW w:w="1705" w:type="dxa"/>
            <w:noWrap w:val="0"/>
            <w:vAlign w:val="top"/>
          </w:tcPr>
          <w:p>
            <w:pPr>
              <w:spacing w:line="58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p>
          <w:p>
            <w:pPr>
              <w:spacing w:line="580" w:lineRule="exact"/>
              <w:ind w:firstLine="560" w:firstLineChars="200"/>
              <w:jc w:val="center"/>
              <w:rPr>
                <w:rFonts w:ascii="仿宋" w:hAnsi="仿宋" w:eastAsia="仿宋" w:cs="仿宋_GB2312"/>
                <w:sz w:val="28"/>
                <w:szCs w:val="28"/>
              </w:rPr>
            </w:pPr>
          </w:p>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预算部门管理（80分）</w:t>
            </w:r>
          </w:p>
        </w:tc>
        <w:tc>
          <w:tcPr>
            <w:tcW w:w="1704" w:type="dxa"/>
            <w:vMerge w:val="restart"/>
            <w:noWrap w:val="0"/>
            <w:vAlign w:val="center"/>
          </w:tcPr>
          <w:p>
            <w:pPr>
              <w:spacing w:line="580" w:lineRule="exact"/>
              <w:ind w:firstLine="280" w:firstLineChars="100"/>
              <w:rPr>
                <w:rFonts w:ascii="仿宋" w:hAnsi="仿宋" w:eastAsia="仿宋" w:cs="仿宋_GB2312"/>
                <w:sz w:val="28"/>
                <w:szCs w:val="28"/>
              </w:rPr>
            </w:pPr>
            <w:r>
              <w:rPr>
                <w:rFonts w:hint="eastAsia" w:ascii="仿宋" w:hAnsi="仿宋" w:eastAsia="仿宋" w:cs="仿宋_GB2312"/>
                <w:sz w:val="28"/>
                <w:szCs w:val="28"/>
              </w:rPr>
              <w:t>预算编制</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目标制定</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目标完成</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编制准确</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pPr>
              <w:ind w:firstLine="280" w:firstLineChars="100"/>
              <w:rPr>
                <w:rFonts w:ascii="仿宋" w:hAnsi="仿宋" w:eastAsia="仿宋" w:cs="仿宋_GB2312"/>
                <w:sz w:val="28"/>
                <w:szCs w:val="28"/>
              </w:rPr>
            </w:pPr>
            <w:r>
              <w:rPr>
                <w:rFonts w:hint="eastAsia" w:ascii="仿宋" w:hAnsi="仿宋" w:eastAsia="仿宋" w:cs="仿宋_GB2312"/>
                <w:sz w:val="28"/>
                <w:szCs w:val="28"/>
              </w:rPr>
              <w:t>预算执行</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支出控制</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动态调整</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执行进度</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完成结果</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预算完成</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hint="eastAsia" w:ascii="仿宋" w:hAnsi="仿宋" w:eastAsia="仿宋" w:cs="仿宋_GB2312"/>
                <w:sz w:val="28"/>
                <w:szCs w:val="28"/>
                <w:lang w:val="en-US" w:eastAsia="zh-CN"/>
              </w:rPr>
            </w:pPr>
            <w:r>
              <w:rPr>
                <w:rFonts w:hint="eastAsia" w:ascii="仿宋" w:hAnsi="仿宋" w:eastAsia="仿宋" w:cs="仿宋_GB2312"/>
                <w:sz w:val="28"/>
                <w:szCs w:val="28"/>
              </w:rPr>
              <w:t>9.</w:t>
            </w:r>
            <w:r>
              <w:rPr>
                <w:rFonts w:hint="eastAsia" w:ascii="仿宋" w:hAnsi="仿宋" w:eastAsia="仿宋"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违规记录</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restart"/>
            <w:noWrap w:val="0"/>
            <w:vAlign w:val="center"/>
          </w:tcPr>
          <w:p>
            <w:pPr>
              <w:tabs>
                <w:tab w:val="left" w:pos="490"/>
              </w:tabs>
              <w:spacing w:line="580" w:lineRule="exact"/>
              <w:ind w:firstLine="560" w:firstLineChars="200"/>
              <w:jc w:val="left"/>
              <w:rPr>
                <w:rFonts w:ascii="仿宋" w:hAnsi="仿宋" w:eastAsia="仿宋" w:cs="仿宋_GB2312"/>
                <w:sz w:val="32"/>
                <w:szCs w:val="32"/>
              </w:rPr>
            </w:pPr>
            <w:r>
              <w:rPr>
                <w:rFonts w:hint="eastAsia" w:ascii="仿宋" w:hAnsi="仿宋" w:eastAsia="仿宋" w:cs="仿宋_GB2312"/>
                <w:sz w:val="28"/>
                <w:szCs w:val="28"/>
              </w:rPr>
              <w:t>绩效结果应用（20分）</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自评质量</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自评准确</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信息公开</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目标公开</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自评公开</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restart"/>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整改反馈</w:t>
            </w: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结果反馈</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4" w:type="dxa"/>
            <w:vMerge w:val="continue"/>
            <w:noWrap w:val="0"/>
            <w:vAlign w:val="center"/>
          </w:tcPr>
          <w:p>
            <w:pPr>
              <w:spacing w:line="580" w:lineRule="exact"/>
              <w:ind w:firstLine="640" w:firstLineChars="200"/>
              <w:jc w:val="center"/>
              <w:rPr>
                <w:rFonts w:ascii="仿宋" w:hAnsi="仿宋" w:eastAsia="仿宋" w:cs="仿宋_GB2312"/>
                <w:sz w:val="32"/>
                <w:szCs w:val="32"/>
              </w:rPr>
            </w:pPr>
          </w:p>
        </w:tc>
        <w:tc>
          <w:tcPr>
            <w:tcW w:w="1704" w:type="dxa"/>
            <w:vMerge w:val="continue"/>
            <w:noWrap w:val="0"/>
            <w:vAlign w:val="center"/>
          </w:tcPr>
          <w:p>
            <w:pPr>
              <w:spacing w:line="580" w:lineRule="exact"/>
              <w:ind w:firstLine="560" w:firstLineChars="200"/>
              <w:jc w:val="center"/>
              <w:rPr>
                <w:rFonts w:ascii="仿宋" w:hAnsi="仿宋" w:eastAsia="仿宋" w:cs="仿宋_GB2312"/>
                <w:sz w:val="28"/>
                <w:szCs w:val="28"/>
              </w:rPr>
            </w:pPr>
          </w:p>
        </w:tc>
        <w:tc>
          <w:tcPr>
            <w:tcW w:w="1704"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应用反馈</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c>
          <w:tcPr>
            <w:tcW w:w="1705" w:type="dxa"/>
            <w:noWrap w:val="0"/>
            <w:vAlign w:val="center"/>
          </w:tcPr>
          <w:p>
            <w:pPr>
              <w:spacing w:line="580" w:lineRule="exact"/>
              <w:ind w:firstLine="560" w:firstLineChars="200"/>
              <w:jc w:val="center"/>
              <w:rPr>
                <w:rFonts w:ascii="仿宋" w:hAnsi="仿宋" w:eastAsia="仿宋" w:cs="仿宋_GB2312"/>
                <w:sz w:val="28"/>
                <w:szCs w:val="28"/>
              </w:rPr>
            </w:pPr>
            <w:r>
              <w:rPr>
                <w:rFonts w:hint="eastAsia" w:ascii="仿宋" w:hAnsi="仿宋" w:eastAsia="仿宋"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817" w:type="dxa"/>
            <w:gridSpan w:val="4"/>
            <w:noWrap w:val="0"/>
            <w:vAlign w:val="center"/>
          </w:tcPr>
          <w:p>
            <w:pPr>
              <w:spacing w:line="58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总分</w:t>
            </w:r>
          </w:p>
        </w:tc>
        <w:tc>
          <w:tcPr>
            <w:tcW w:w="1705" w:type="dxa"/>
            <w:noWrap w:val="0"/>
            <w:vAlign w:val="center"/>
          </w:tcPr>
          <w:p>
            <w:pPr>
              <w:spacing w:line="580" w:lineRule="exact"/>
              <w:ind w:firstLine="640" w:firstLineChars="200"/>
              <w:jc w:val="center"/>
              <w:rPr>
                <w:rFonts w:hint="eastAsia" w:ascii="仿宋" w:hAnsi="仿宋" w:eastAsia="仿宋" w:cs="仿宋_GB2312"/>
                <w:sz w:val="32"/>
                <w:szCs w:val="32"/>
                <w:lang w:eastAsia="zh-CN"/>
              </w:rPr>
            </w:pPr>
            <w:r>
              <w:rPr>
                <w:rFonts w:hint="eastAsia" w:ascii="仿宋" w:hAnsi="仿宋" w:eastAsia="仿宋" w:cs="仿宋_GB2312"/>
                <w:sz w:val="32"/>
                <w:szCs w:val="32"/>
              </w:rPr>
              <w:t>9</w:t>
            </w:r>
            <w:r>
              <w:rPr>
                <w:rFonts w:hint="eastAsia" w:ascii="仿宋" w:hAnsi="仿宋" w:eastAsia="仿宋" w:cs="仿宋_GB2312"/>
                <w:sz w:val="32"/>
                <w:szCs w:val="32"/>
                <w:lang w:val="en-US" w:eastAsia="zh-CN"/>
              </w:rPr>
              <w:t>7</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9"/>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14" w:type="first"/>
      <w:footerReference r:id="rId1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994781956"/>
      </w:sdtPr>
      <w:sdtContent/>
    </w:sdt>
  </w:p>
  <w:p>
    <w:pPr>
      <w:pStyle w:val="8"/>
      <w:rPr>
        <w:rFonts w:hint="eastAsia"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pPr>
      <w:pStyle w:val="8"/>
      <w:rPr>
        <w:rFonts w:hint="eastAsia" w:eastAsia="宋体"/>
        <w:lang w:val="en-US"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mVmMTU1MjgzNjFjZTQwMjM4MThmNzQwMjhhM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2E60"/>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D17FD"/>
    <w:rsid w:val="03A27284"/>
    <w:rsid w:val="053A62B5"/>
    <w:rsid w:val="05F46447"/>
    <w:rsid w:val="068A52EB"/>
    <w:rsid w:val="06AC1D70"/>
    <w:rsid w:val="08F63846"/>
    <w:rsid w:val="0A2032A3"/>
    <w:rsid w:val="0B8A37D8"/>
    <w:rsid w:val="0C25054F"/>
    <w:rsid w:val="0E2A646C"/>
    <w:rsid w:val="0FE25D5C"/>
    <w:rsid w:val="0FE35FB8"/>
    <w:rsid w:val="10702130"/>
    <w:rsid w:val="10C055FF"/>
    <w:rsid w:val="118107EC"/>
    <w:rsid w:val="11C27BEE"/>
    <w:rsid w:val="11DD6519"/>
    <w:rsid w:val="13A7657E"/>
    <w:rsid w:val="16BB723D"/>
    <w:rsid w:val="17D66D1D"/>
    <w:rsid w:val="18015F3F"/>
    <w:rsid w:val="18941A2E"/>
    <w:rsid w:val="1B28788F"/>
    <w:rsid w:val="1BE8440E"/>
    <w:rsid w:val="1CC85AE1"/>
    <w:rsid w:val="1D155CEE"/>
    <w:rsid w:val="1DE25B8E"/>
    <w:rsid w:val="1E7D6144"/>
    <w:rsid w:val="201B5C14"/>
    <w:rsid w:val="2079293B"/>
    <w:rsid w:val="20F57F95"/>
    <w:rsid w:val="21923ACB"/>
    <w:rsid w:val="21FC4784"/>
    <w:rsid w:val="240371BF"/>
    <w:rsid w:val="24885842"/>
    <w:rsid w:val="25711CC6"/>
    <w:rsid w:val="25C741E6"/>
    <w:rsid w:val="27842671"/>
    <w:rsid w:val="28902F18"/>
    <w:rsid w:val="29FD04D3"/>
    <w:rsid w:val="2ABE7A3E"/>
    <w:rsid w:val="2BEF2DD6"/>
    <w:rsid w:val="2CA234A8"/>
    <w:rsid w:val="2E7A61FC"/>
    <w:rsid w:val="2EFA178C"/>
    <w:rsid w:val="303F3691"/>
    <w:rsid w:val="30B46D73"/>
    <w:rsid w:val="311436B1"/>
    <w:rsid w:val="319F7F4E"/>
    <w:rsid w:val="35D501BC"/>
    <w:rsid w:val="36A4475E"/>
    <w:rsid w:val="371D3512"/>
    <w:rsid w:val="37410504"/>
    <w:rsid w:val="383A0992"/>
    <w:rsid w:val="383D272C"/>
    <w:rsid w:val="398D3E9F"/>
    <w:rsid w:val="39AE70AB"/>
    <w:rsid w:val="3A015ACD"/>
    <w:rsid w:val="3A7954DE"/>
    <w:rsid w:val="3B225DD2"/>
    <w:rsid w:val="3C0C0783"/>
    <w:rsid w:val="3D7D0A61"/>
    <w:rsid w:val="3DD97A46"/>
    <w:rsid w:val="3F9F3A96"/>
    <w:rsid w:val="404171CE"/>
    <w:rsid w:val="46080139"/>
    <w:rsid w:val="46843C64"/>
    <w:rsid w:val="48BF60AB"/>
    <w:rsid w:val="493C27E9"/>
    <w:rsid w:val="496B615B"/>
    <w:rsid w:val="496F39ED"/>
    <w:rsid w:val="49FF41D3"/>
    <w:rsid w:val="4B1E0AA7"/>
    <w:rsid w:val="4B956F5E"/>
    <w:rsid w:val="4BBB3FA1"/>
    <w:rsid w:val="4BE068DB"/>
    <w:rsid w:val="4BF6002B"/>
    <w:rsid w:val="4DC2391A"/>
    <w:rsid w:val="4E7C6D11"/>
    <w:rsid w:val="4ECE2238"/>
    <w:rsid w:val="50AF2E05"/>
    <w:rsid w:val="50E14A19"/>
    <w:rsid w:val="519A049A"/>
    <w:rsid w:val="51DB4B86"/>
    <w:rsid w:val="51E25CE3"/>
    <w:rsid w:val="55333C3E"/>
    <w:rsid w:val="55BB73F7"/>
    <w:rsid w:val="5E435D5B"/>
    <w:rsid w:val="60483AFC"/>
    <w:rsid w:val="61CB3795"/>
    <w:rsid w:val="626264C2"/>
    <w:rsid w:val="62BD60DC"/>
    <w:rsid w:val="64CA39A1"/>
    <w:rsid w:val="695A0B28"/>
    <w:rsid w:val="69630ADE"/>
    <w:rsid w:val="6AE10DD5"/>
    <w:rsid w:val="6BC843F3"/>
    <w:rsid w:val="6C4A05C8"/>
    <w:rsid w:val="6D06567B"/>
    <w:rsid w:val="6D3B1A89"/>
    <w:rsid w:val="706E4EB9"/>
    <w:rsid w:val="71456AD4"/>
    <w:rsid w:val="71933BF5"/>
    <w:rsid w:val="71BF4EC2"/>
    <w:rsid w:val="72734D90"/>
    <w:rsid w:val="736F160D"/>
    <w:rsid w:val="73777C42"/>
    <w:rsid w:val="7412278C"/>
    <w:rsid w:val="752F25B7"/>
    <w:rsid w:val="75D166E3"/>
    <w:rsid w:val="778525A0"/>
    <w:rsid w:val="78812883"/>
    <w:rsid w:val="78895B4B"/>
    <w:rsid w:val="78EB38FD"/>
    <w:rsid w:val="79E7B28D"/>
    <w:rsid w:val="7A9B3646"/>
    <w:rsid w:val="7C436A1C"/>
    <w:rsid w:val="7EBE2C2B"/>
    <w:rsid w:val="7F9F20EE"/>
    <w:rsid w:val="7FE40CF4"/>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2262.29</c:v>
                </c:pt>
                <c:pt idx="1">
                  <c:v>4507.48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Sheet1!$C$2:$C$3</c:f>
              <c:numCache>
                <c:formatCode>General</c:formatCode>
                <c:ptCount val="2"/>
                <c:pt idx="0">
                  <c:v>2262.29</c:v>
                </c:pt>
                <c:pt idx="1">
                  <c:v>4507.48</c:v>
                </c:pt>
              </c:numCache>
            </c:numRef>
          </c:val>
        </c:ser>
        <c:dLbls>
          <c:showLegendKey val="0"/>
          <c:showVal val="0"/>
          <c:showCatName val="0"/>
          <c:showSerName val="0"/>
          <c:showPercent val="0"/>
          <c:showBubbleSize val="0"/>
        </c:dLbls>
        <c:gapWidth val="246"/>
        <c:overlap val="-28"/>
        <c:axId val="634250837"/>
        <c:axId val="66343528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3425083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435282"/>
        <c:crosses val="autoZero"/>
        <c:auto val="1"/>
        <c:lblAlgn val="ctr"/>
        <c:lblOffset val="100"/>
        <c:noMultiLvlLbl val="0"/>
      </c:catAx>
      <c:valAx>
        <c:axId val="66343528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25083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343.85</c:v>
                </c:pt>
                <c:pt idx="1">
                  <c:v>4163.63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4481.23</c:v>
                </c:pt>
                <c:pt idx="1">
                  <c:v>12.73</c:v>
                </c:pt>
                <c:pt idx="2">
                  <c:v>13.52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5235</Words>
  <Characters>5636</Characters>
  <Lines>61</Lines>
  <Paragraphs>17</Paragraphs>
  <TotalTime>26</TotalTime>
  <ScaleCrop>false</ScaleCrop>
  <LinksUpToDate>false</LinksUpToDate>
  <CharactersWithSpaces>5659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晓娟</cp:lastModifiedBy>
  <cp:lastPrinted>2023-10-16T06:56:02Z</cp:lastPrinted>
  <dcterms:modified xsi:type="dcterms:W3CDTF">2023-10-16T07:00:17Z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DC0FE08683BB4BEBA222B604DE463B42_12</vt:lpwstr>
  </property>
</Properties>
</file>